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3F5C5754" w14:textId="3A55CF5E" w:rsidR="00EB05B6" w:rsidRDefault="00CC61D8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29.04.2022                                                                                                               </w:t>
      </w:r>
      <w:r w:rsidR="00FB7A28">
        <w:rPr>
          <w:sz w:val="28"/>
          <w:szCs w:val="28"/>
        </w:rPr>
        <w:t xml:space="preserve">  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bookmarkEnd w:id="0"/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C2FAEE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3D5D8F">
        <w:rPr>
          <w:rFonts w:eastAsia="Calibri"/>
          <w:kern w:val="2"/>
          <w:sz w:val="26"/>
          <w:szCs w:val="26"/>
          <w:lang w:eastAsia="en-US"/>
        </w:rPr>
        <w:t>70070,4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1A0C9CE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3D5D8F">
        <w:rPr>
          <w:rFonts w:eastAsia="Calibri"/>
          <w:kern w:val="2"/>
          <w:sz w:val="26"/>
          <w:szCs w:val="26"/>
          <w:lang w:eastAsia="en-US"/>
        </w:rPr>
        <w:t>8082,5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44732A39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3D5D8F">
        <w:rPr>
          <w:sz w:val="26"/>
          <w:szCs w:val="26"/>
        </w:rPr>
        <w:t>2 664,6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47944F24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3D5D8F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451A463C" w:rsidR="00377069" w:rsidRPr="008521FE" w:rsidRDefault="003D5D8F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2AC001D" w:rsidR="00377069" w:rsidRPr="00666F6D" w:rsidRDefault="003D5D8F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1C662886" w:rsidR="00EB05B6" w:rsidRPr="003462E7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2A6A789B" w:rsidR="005879CA" w:rsidRPr="006C28E4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179.</w:t>
            </w:r>
            <w:r w:rsidR="003328CC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3D634787" w:rsidR="005879CA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A45F7B" w:rsidRPr="00181058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12E14DA7" w:rsidR="00A45F7B" w:rsidRPr="001B77EF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3F39C34D" w:rsidR="00662115" w:rsidRPr="00B9157F" w:rsidRDefault="003D5D8F" w:rsidP="009B6455">
            <w:pPr>
              <w:jc w:val="center"/>
            </w:pPr>
            <w:r>
              <w:t>8082,5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B9157F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44A97253" w:rsidR="00662115" w:rsidRPr="00B9157F" w:rsidRDefault="003D5D8F" w:rsidP="003328CC">
            <w:r>
              <w:t>6889,7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7868DCA" w:rsidR="00C65C2F" w:rsidRPr="00B9157F" w:rsidRDefault="0093445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B9157F" w:rsidRDefault="0093445B">
            <w:pPr>
              <w:jc w:val="center"/>
            </w:pPr>
            <w:r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A2020"/>
    <w:rsid w:val="002B14C8"/>
    <w:rsid w:val="002E21FA"/>
    <w:rsid w:val="003328CC"/>
    <w:rsid w:val="00337327"/>
    <w:rsid w:val="003416EE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CC61D8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8A30F1-D2A8-4B7B-9F7E-855F90A7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10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54</cp:revision>
  <cp:lastPrinted>2022-05-18T12:00:00Z</cp:lastPrinted>
  <dcterms:created xsi:type="dcterms:W3CDTF">2019-12-17T10:35:00Z</dcterms:created>
  <dcterms:modified xsi:type="dcterms:W3CDTF">2022-05-18T12:02:00Z</dcterms:modified>
</cp:coreProperties>
</file>