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4617D1">
        <w:rPr>
          <w:b/>
        </w:rPr>
        <w:t xml:space="preserve"> 14.06</w:t>
      </w:r>
      <w:r w:rsidR="0005596A">
        <w:rPr>
          <w:b/>
        </w:rPr>
        <w:t>.</w:t>
      </w:r>
      <w:r w:rsidR="004617D1">
        <w:rPr>
          <w:b/>
        </w:rPr>
        <w:t>2022 по 19</w:t>
      </w:r>
      <w:r w:rsidR="006B7A2A">
        <w:rPr>
          <w:b/>
        </w:rPr>
        <w:t>.</w:t>
      </w:r>
      <w:r w:rsidR="00433AF3">
        <w:rPr>
          <w:b/>
        </w:rPr>
        <w:t>06</w:t>
      </w:r>
      <w:r w:rsidR="00A810BB" w:rsidRPr="000A3E5D">
        <w:rPr>
          <w:b/>
        </w:rPr>
        <w:t>.</w:t>
      </w:r>
      <w:r w:rsidR="00D51E27">
        <w:rPr>
          <w:b/>
        </w:rPr>
        <w:t>2022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7719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617D1">
              <w:rPr>
                <w:sz w:val="26"/>
                <w:szCs w:val="26"/>
              </w:rPr>
              <w:t>14</w:t>
            </w:r>
            <w:r w:rsidR="00B11078" w:rsidRPr="000C1CF4">
              <w:rPr>
                <w:sz w:val="26"/>
                <w:szCs w:val="26"/>
              </w:rPr>
              <w:t>.</w:t>
            </w:r>
            <w:r w:rsidR="00327F7E">
              <w:rPr>
                <w:sz w:val="26"/>
                <w:szCs w:val="26"/>
              </w:rPr>
              <w:t>06</w:t>
            </w:r>
            <w:r w:rsidR="00076ADD">
              <w:rPr>
                <w:sz w:val="26"/>
                <w:szCs w:val="26"/>
              </w:rPr>
              <w:t>.2022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B03609">
        <w:trPr>
          <w:trHeight w:val="43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F434F2" w:rsidRDefault="004617D1" w:rsidP="00C82184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5E414C">
              <w:rPr>
                <w:sz w:val="26"/>
                <w:szCs w:val="26"/>
              </w:rPr>
              <w:t>.</w:t>
            </w:r>
            <w:r w:rsidR="00327F7E">
              <w:rPr>
                <w:sz w:val="26"/>
                <w:szCs w:val="26"/>
              </w:rPr>
              <w:t>06</w:t>
            </w:r>
            <w:r w:rsidR="00B21542">
              <w:rPr>
                <w:sz w:val="26"/>
                <w:szCs w:val="26"/>
              </w:rPr>
              <w:t>.202</w:t>
            </w:r>
            <w:r w:rsidR="009425FD">
              <w:rPr>
                <w:sz w:val="26"/>
                <w:szCs w:val="26"/>
              </w:rPr>
              <w:t>2</w:t>
            </w:r>
          </w:p>
          <w:p w:rsidR="000B1A86" w:rsidRPr="000C1CF4" w:rsidRDefault="004617D1" w:rsidP="00C82184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33AF3">
              <w:rPr>
                <w:sz w:val="26"/>
                <w:szCs w:val="26"/>
              </w:rPr>
              <w:t>.06</w:t>
            </w:r>
            <w:r w:rsidR="00F434F2">
              <w:rPr>
                <w:sz w:val="26"/>
                <w:szCs w:val="26"/>
              </w:rPr>
              <w:t>.2022</w:t>
            </w:r>
            <w:r w:rsidR="009425FD">
              <w:rPr>
                <w:sz w:val="26"/>
                <w:szCs w:val="26"/>
              </w:rPr>
              <w:br/>
            </w:r>
            <w:r w:rsidR="00F26293"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C82184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C82184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C82184" w:rsidRDefault="00C82184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C82184" w:rsidRPr="00BF3389" w:rsidRDefault="00C82184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C82184" w:rsidRPr="000C1CF4" w:rsidRDefault="00C82184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4617D1" w:rsidRPr="004617D1" w:rsidRDefault="004617D1" w:rsidP="004617D1">
            <w:pPr>
              <w:pStyle w:val="a9"/>
              <w:rPr>
                <w:sz w:val="26"/>
                <w:szCs w:val="26"/>
              </w:rPr>
            </w:pPr>
            <w:bookmarkStart w:id="0" w:name="_GoBack"/>
            <w:bookmarkEnd w:id="0"/>
            <w:r w:rsidRPr="004617D1">
              <w:rPr>
                <w:sz w:val="26"/>
                <w:szCs w:val="26"/>
              </w:rPr>
              <w:t>14.06.2022</w:t>
            </w:r>
          </w:p>
          <w:p w:rsidR="004617D1" w:rsidRPr="004617D1" w:rsidRDefault="004617D1" w:rsidP="004617D1">
            <w:pPr>
              <w:pStyle w:val="a9"/>
              <w:rPr>
                <w:sz w:val="26"/>
                <w:szCs w:val="26"/>
              </w:rPr>
            </w:pPr>
            <w:r w:rsidRPr="004617D1">
              <w:rPr>
                <w:sz w:val="26"/>
                <w:szCs w:val="26"/>
              </w:rPr>
              <w:t>16.06.2022</w:t>
            </w:r>
          </w:p>
          <w:p w:rsidR="004617D1" w:rsidRPr="004617D1" w:rsidRDefault="004617D1" w:rsidP="004617D1">
            <w:pPr>
              <w:pStyle w:val="a9"/>
              <w:rPr>
                <w:sz w:val="26"/>
                <w:szCs w:val="26"/>
              </w:rPr>
            </w:pPr>
            <w:r w:rsidRPr="004617D1">
              <w:rPr>
                <w:sz w:val="26"/>
                <w:szCs w:val="26"/>
              </w:rPr>
              <w:t xml:space="preserve"> 08.00-17.00 перерыв  </w:t>
            </w:r>
          </w:p>
          <w:p w:rsidR="00C82184" w:rsidRPr="000C1CF4" w:rsidRDefault="004617D1" w:rsidP="004617D1">
            <w:pPr>
              <w:pStyle w:val="a9"/>
              <w:rPr>
                <w:sz w:val="26"/>
                <w:szCs w:val="26"/>
              </w:rPr>
            </w:pPr>
            <w:r w:rsidRPr="004617D1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C82184" w:rsidRPr="000C1CF4" w:rsidTr="00B03609">
        <w:trPr>
          <w:trHeight w:val="240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C82184" w:rsidRPr="000C1CF4" w:rsidTr="00B03609">
        <w:trPr>
          <w:trHeight w:val="1124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05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7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1081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C82184" w:rsidRPr="000C1CF4" w:rsidTr="00B03609">
        <w:trPr>
          <w:trHeight w:val="1779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437CE"/>
    <w:rsid w:val="002510FF"/>
    <w:rsid w:val="00252114"/>
    <w:rsid w:val="002527DC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20CFE"/>
    <w:rsid w:val="00325AAD"/>
    <w:rsid w:val="00327F7E"/>
    <w:rsid w:val="00331DC8"/>
    <w:rsid w:val="00332923"/>
    <w:rsid w:val="00333EF6"/>
    <w:rsid w:val="00335AB3"/>
    <w:rsid w:val="00340151"/>
    <w:rsid w:val="0035057B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4048B9"/>
    <w:rsid w:val="004058D0"/>
    <w:rsid w:val="00405FBB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65B1"/>
    <w:rsid w:val="004571D9"/>
    <w:rsid w:val="004617D1"/>
    <w:rsid w:val="00465A99"/>
    <w:rsid w:val="00466944"/>
    <w:rsid w:val="00466E3E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2338C"/>
    <w:rsid w:val="0056352D"/>
    <w:rsid w:val="005650A3"/>
    <w:rsid w:val="00573119"/>
    <w:rsid w:val="00574560"/>
    <w:rsid w:val="00574EF8"/>
    <w:rsid w:val="00580CF4"/>
    <w:rsid w:val="005849E0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5CCF"/>
    <w:rsid w:val="00627492"/>
    <w:rsid w:val="006526C3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008B"/>
    <w:rsid w:val="008F3A24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E2A19"/>
    <w:rsid w:val="00AE3253"/>
    <w:rsid w:val="00AF0F35"/>
    <w:rsid w:val="00AF2A26"/>
    <w:rsid w:val="00AF5E4D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37C0"/>
    <w:rsid w:val="00C54992"/>
    <w:rsid w:val="00C61B2F"/>
    <w:rsid w:val="00C625D9"/>
    <w:rsid w:val="00C63615"/>
    <w:rsid w:val="00C73E40"/>
    <w:rsid w:val="00C819B4"/>
    <w:rsid w:val="00C82184"/>
    <w:rsid w:val="00C82C7A"/>
    <w:rsid w:val="00C85A20"/>
    <w:rsid w:val="00C935A9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6293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6054-354D-4516-A696-9184BE53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85</cp:revision>
  <cp:lastPrinted>2021-07-06T13:42:00Z</cp:lastPrinted>
  <dcterms:created xsi:type="dcterms:W3CDTF">2021-06-28T06:27:00Z</dcterms:created>
  <dcterms:modified xsi:type="dcterms:W3CDTF">2022-06-10T05:46:00Z</dcterms:modified>
</cp:coreProperties>
</file>