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6B728A" w:rsidTr="006B728A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6B728A" w:rsidRDefault="006B72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28A" w:rsidTr="006B728A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6B728A" w:rsidRDefault="006B72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6B728A" w:rsidRDefault="006B728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6B728A" w:rsidRDefault="006B72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6B728A" w:rsidRDefault="006B72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6B728A" w:rsidTr="006B728A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B728A" w:rsidRDefault="000B4617" w:rsidP="000B461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 w:rsidR="003514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</w:t>
            </w:r>
            <w:r w:rsidR="006B72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3514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6B72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B728A" w:rsidRDefault="006B728A" w:rsidP="003514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3514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B728A" w:rsidRDefault="006B728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B728A" w:rsidRDefault="006B728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B728A" w:rsidRDefault="006B728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B728A" w:rsidRDefault="006B728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B728A" w:rsidRDefault="006B728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B728A" w:rsidRDefault="006B728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B728A" w:rsidRDefault="006B728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B728A" w:rsidRDefault="006B728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B728A" w:rsidRDefault="006B728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B728A" w:rsidRDefault="003514F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</w:tr>
      <w:tr w:rsidR="006B728A" w:rsidTr="006B728A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6B728A" w:rsidRDefault="006B728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6B728A" w:rsidTr="006B728A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6B728A" w:rsidRDefault="006B728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A9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A9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</w:t>
            </w:r>
            <w:proofErr w:type="gramStart"/>
            <w:r w:rsidR="00A9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Истоминского сельского поселения «Комплексное благоустройство территории поселения» за 2015 год»</w:t>
            </w:r>
          </w:p>
          <w:p w:rsidR="006B728A" w:rsidRDefault="006B728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28A" w:rsidRDefault="006B728A" w:rsidP="006B728A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6B728A" w:rsidRDefault="006B728A" w:rsidP="006B728A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6B728A" w:rsidRDefault="006B728A" w:rsidP="006B728A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6B728A" w:rsidRDefault="006B728A" w:rsidP="006B728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A9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исполнении плана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территории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2015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6B728A" w:rsidRDefault="006B728A" w:rsidP="006B728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6B728A" w:rsidRDefault="006B728A" w:rsidP="006B728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постановления </w:t>
      </w:r>
      <w:r w:rsidR="00FF7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28A" w:rsidRDefault="006B728A" w:rsidP="006B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Default="006B728A" w:rsidP="006B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B728A" w:rsidRDefault="006B728A" w:rsidP="006B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6B728A" w:rsidRDefault="006B728A" w:rsidP="006B7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8A" w:rsidRDefault="006B728A" w:rsidP="006B7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28A" w:rsidRDefault="006B728A" w:rsidP="006B7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28A" w:rsidRDefault="006B728A" w:rsidP="006B728A"/>
    <w:p w:rsidR="006B728A" w:rsidRDefault="006B728A" w:rsidP="006B728A"/>
    <w:p w:rsidR="006B728A" w:rsidRDefault="006B728A" w:rsidP="006B728A">
      <w:r>
        <w:t xml:space="preserve">Постановление вносит </w:t>
      </w:r>
    </w:p>
    <w:p w:rsidR="006B728A" w:rsidRDefault="00FF77C2" w:rsidP="006B728A">
      <w:r>
        <w:t>сектор</w:t>
      </w:r>
      <w:r w:rsidR="006B728A">
        <w:t xml:space="preserve"> ЖКХ</w:t>
      </w:r>
      <w:r>
        <w:t xml:space="preserve"> и имущественных</w:t>
      </w:r>
    </w:p>
    <w:p w:rsidR="00FF77C2" w:rsidRDefault="00FF77C2" w:rsidP="006B728A">
      <w:r>
        <w:t>отношений</w:t>
      </w:r>
    </w:p>
    <w:p w:rsidR="006B728A" w:rsidRDefault="006B728A" w:rsidP="006B728A">
      <w:bookmarkStart w:id="0" w:name="_GoBack"/>
      <w:bookmarkEnd w:id="0"/>
    </w:p>
    <w:p w:rsidR="006B728A" w:rsidRDefault="006B728A" w:rsidP="006B728A"/>
    <w:p w:rsidR="006B728A" w:rsidRDefault="006B728A" w:rsidP="006B728A"/>
    <w:p w:rsidR="006B728A" w:rsidRDefault="006B728A" w:rsidP="006B728A"/>
    <w:p w:rsidR="006B728A" w:rsidRDefault="006B728A" w:rsidP="006B728A"/>
    <w:p w:rsidR="006B728A" w:rsidRDefault="006B728A" w:rsidP="006B72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B728A" w:rsidRDefault="006B728A" w:rsidP="006B72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 вопросу «Об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color w:val="000000"/>
          <w:sz w:val="32"/>
          <w:szCs w:val="32"/>
        </w:rPr>
        <w:t xml:space="preserve">» </w:t>
      </w:r>
    </w:p>
    <w:p w:rsidR="006B728A" w:rsidRDefault="006B728A" w:rsidP="006B72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294B6E">
        <w:rPr>
          <w:rFonts w:ascii="Times New Roman" w:hAnsi="Times New Roman"/>
          <w:color w:val="000000"/>
          <w:sz w:val="32"/>
          <w:szCs w:val="32"/>
        </w:rPr>
        <w:t>за 2015 год»</w:t>
      </w:r>
    </w:p>
    <w:p w:rsidR="006B728A" w:rsidRDefault="006B728A" w:rsidP="006B728A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sz w:val="32"/>
          <w:szCs w:val="32"/>
        </w:rPr>
        <w:t xml:space="preserve">» (далее – муниципальная программа) утверждена постановлением Администрации Истоминского сельского поселения от 12.12.2013 № 425. На реализацию муниципальной программы </w:t>
      </w:r>
      <w:proofErr w:type="gramStart"/>
      <w:r>
        <w:rPr>
          <w:rFonts w:ascii="Times New Roman" w:hAnsi="Times New Roman"/>
          <w:sz w:val="32"/>
          <w:szCs w:val="32"/>
        </w:rPr>
        <w:t>в  2015</w:t>
      </w:r>
      <w:proofErr w:type="gramEnd"/>
      <w:r>
        <w:rPr>
          <w:rFonts w:ascii="Times New Roman" w:hAnsi="Times New Roman"/>
          <w:sz w:val="32"/>
          <w:szCs w:val="32"/>
        </w:rPr>
        <w:t xml:space="preserve"> году предусмотрено средств бюджета  </w:t>
      </w:r>
      <w:r w:rsidR="001B1C98" w:rsidRPr="001B1C98">
        <w:rPr>
          <w:rFonts w:ascii="Times New Roman" w:hAnsi="Times New Roman"/>
          <w:sz w:val="32"/>
          <w:szCs w:val="32"/>
        </w:rPr>
        <w:t>7283,4</w:t>
      </w:r>
      <w:r w:rsidR="001B1C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тыс. рублей. Заключено контрактов на общую сумму </w:t>
      </w:r>
      <w:r w:rsidR="001B1C98" w:rsidRPr="001B1C98">
        <w:rPr>
          <w:rFonts w:ascii="Times New Roman" w:hAnsi="Times New Roman"/>
          <w:sz w:val="32"/>
          <w:szCs w:val="32"/>
        </w:rPr>
        <w:t>6983,4</w:t>
      </w:r>
      <w:r w:rsidR="001B1C98">
        <w:rPr>
          <w:rFonts w:ascii="Times New Roman" w:hAnsi="Times New Roman"/>
          <w:sz w:val="32"/>
          <w:szCs w:val="32"/>
        </w:rPr>
        <w:t xml:space="preserve"> тыс. </w:t>
      </w:r>
      <w:r>
        <w:rPr>
          <w:rFonts w:ascii="Times New Roman" w:hAnsi="Times New Roman"/>
          <w:sz w:val="32"/>
          <w:szCs w:val="32"/>
        </w:rPr>
        <w:t xml:space="preserve">рублей или </w:t>
      </w:r>
      <w:r w:rsidR="001B1C98">
        <w:rPr>
          <w:rFonts w:ascii="Times New Roman" w:hAnsi="Times New Roman"/>
          <w:sz w:val="32"/>
          <w:szCs w:val="32"/>
        </w:rPr>
        <w:t>96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1B1C98" w:rsidRPr="001B1C98">
        <w:rPr>
          <w:rFonts w:ascii="Times New Roman" w:hAnsi="Times New Roman"/>
          <w:sz w:val="32"/>
          <w:szCs w:val="32"/>
        </w:rPr>
        <w:t>6983,4</w:t>
      </w:r>
      <w:r w:rsidR="001B1C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тыс. рублей или </w:t>
      </w:r>
      <w:r w:rsidR="001B1C98">
        <w:rPr>
          <w:rFonts w:ascii="Times New Roman" w:hAnsi="Times New Roman"/>
          <w:sz w:val="32"/>
          <w:szCs w:val="32"/>
        </w:rPr>
        <w:t>96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ассигнований, из них </w:t>
      </w:r>
      <w:r w:rsidR="001B1C98" w:rsidRPr="001B1C98">
        <w:rPr>
          <w:rFonts w:ascii="Times New Roman" w:eastAsia="Times New Roman" w:hAnsi="Times New Roman" w:cs="Times New Roman"/>
          <w:sz w:val="32"/>
          <w:szCs w:val="32"/>
          <w:lang w:eastAsia="ru-RU"/>
        </w:rPr>
        <w:t>852,2</w:t>
      </w:r>
      <w:r w:rsid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C98" w:rsidRPr="001B1C98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 рублей</w:t>
      </w:r>
      <w:r w:rsidR="001B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</w:rPr>
        <w:t>оплачено за активную энергию.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И.С.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и содержание уличного освещения Истоминского сельского поселения» (далее Подпрограмма 1);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«Озеленение и благоустройство территории Истоминского сельского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2). 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3 – «Благоустройство муниципальных кладбищ Истоминского сельского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3). 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</w:t>
      </w:r>
      <w:r w:rsidR="000B4617">
        <w:rPr>
          <w:rFonts w:ascii="Times New Roman" w:hAnsi="Times New Roman"/>
          <w:sz w:val="32"/>
          <w:szCs w:val="32"/>
        </w:rPr>
        <w:t xml:space="preserve"> поселения от </w:t>
      </w:r>
      <w:r w:rsidR="003514FC">
        <w:rPr>
          <w:rFonts w:ascii="Times New Roman" w:hAnsi="Times New Roman"/>
          <w:sz w:val="32"/>
          <w:szCs w:val="32"/>
        </w:rPr>
        <w:t>30</w:t>
      </w:r>
      <w:r w:rsidR="000B4617">
        <w:rPr>
          <w:rFonts w:ascii="Times New Roman" w:hAnsi="Times New Roman"/>
          <w:sz w:val="32"/>
          <w:szCs w:val="32"/>
        </w:rPr>
        <w:t>.12.201</w:t>
      </w:r>
      <w:r w:rsidR="003514FC">
        <w:rPr>
          <w:rFonts w:ascii="Times New Roman" w:hAnsi="Times New Roman"/>
          <w:sz w:val="32"/>
          <w:szCs w:val="32"/>
        </w:rPr>
        <w:t>4</w:t>
      </w:r>
      <w:r w:rsidR="000B4617">
        <w:rPr>
          <w:rFonts w:ascii="Times New Roman" w:hAnsi="Times New Roman"/>
          <w:sz w:val="32"/>
          <w:szCs w:val="32"/>
        </w:rPr>
        <w:t xml:space="preserve"> № </w:t>
      </w:r>
      <w:r w:rsidR="00A90F8F">
        <w:rPr>
          <w:rFonts w:ascii="Times New Roman" w:hAnsi="Times New Roman"/>
          <w:sz w:val="32"/>
          <w:szCs w:val="32"/>
        </w:rPr>
        <w:t>345</w:t>
      </w:r>
      <w:r w:rsidR="000B461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утвержден план реализации муниципальной программы Истоминского сельского поселения «Комплексное благоустройство территории поселения» на 2015 год. 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2015 год предусмотрено </w:t>
      </w:r>
      <w:r w:rsidR="00E13F2D">
        <w:rPr>
          <w:rFonts w:ascii="Times New Roman" w:hAnsi="Times New Roman"/>
          <w:sz w:val="32"/>
          <w:szCs w:val="32"/>
        </w:rPr>
        <w:t>2028,0</w:t>
      </w:r>
      <w:r w:rsidR="00FF5F37">
        <w:rPr>
          <w:rFonts w:ascii="Times New Roman" w:hAnsi="Times New Roman"/>
          <w:sz w:val="32"/>
          <w:szCs w:val="32"/>
        </w:rPr>
        <w:t xml:space="preserve"> тыс. рублей. По состоянию на 31.12</w:t>
      </w:r>
      <w:r>
        <w:rPr>
          <w:rFonts w:ascii="Times New Roman" w:hAnsi="Times New Roman"/>
          <w:sz w:val="32"/>
          <w:szCs w:val="32"/>
        </w:rPr>
        <w:t xml:space="preserve">.2015 года </w:t>
      </w:r>
      <w:r>
        <w:rPr>
          <w:rFonts w:ascii="Times New Roman" w:hAnsi="Times New Roman"/>
          <w:sz w:val="32"/>
          <w:szCs w:val="32"/>
        </w:rPr>
        <w:lastRenderedPageBreak/>
        <w:t xml:space="preserve">заключено </w:t>
      </w:r>
      <w:r w:rsidR="001B1C98">
        <w:rPr>
          <w:rFonts w:ascii="Times New Roman" w:hAnsi="Times New Roman"/>
          <w:sz w:val="32"/>
          <w:szCs w:val="32"/>
        </w:rPr>
        <w:t>14 муниципальных контрактов</w:t>
      </w:r>
      <w:r>
        <w:rPr>
          <w:rFonts w:ascii="Times New Roman" w:hAnsi="Times New Roman"/>
          <w:sz w:val="32"/>
          <w:szCs w:val="32"/>
        </w:rPr>
        <w:t xml:space="preserve"> на сумму </w:t>
      </w:r>
      <w:r w:rsidR="001B1C98" w:rsidRPr="001B1C98">
        <w:rPr>
          <w:rFonts w:ascii="Times New Roman" w:hAnsi="Times New Roman"/>
          <w:sz w:val="32"/>
          <w:szCs w:val="32"/>
        </w:rPr>
        <w:t>2027,0</w:t>
      </w:r>
      <w:r w:rsidR="001B1C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тыс. рублей. Фактическое освоение средств составило </w:t>
      </w:r>
      <w:r w:rsidR="001B1C98" w:rsidRPr="001B1C98">
        <w:rPr>
          <w:rFonts w:ascii="Times New Roman" w:hAnsi="Times New Roman"/>
          <w:sz w:val="32"/>
          <w:szCs w:val="32"/>
        </w:rPr>
        <w:t xml:space="preserve">2027,0 </w:t>
      </w:r>
      <w:r>
        <w:rPr>
          <w:rFonts w:ascii="Times New Roman" w:hAnsi="Times New Roman"/>
          <w:sz w:val="32"/>
          <w:szCs w:val="32"/>
        </w:rPr>
        <w:t xml:space="preserve">тыс. рублей или </w:t>
      </w:r>
      <w:r w:rsidR="001B1C98">
        <w:rPr>
          <w:rFonts w:ascii="Times New Roman" w:hAnsi="Times New Roman"/>
          <w:sz w:val="32"/>
          <w:szCs w:val="32"/>
        </w:rPr>
        <w:t>100</w:t>
      </w:r>
      <w:r>
        <w:rPr>
          <w:rFonts w:ascii="Times New Roman" w:hAnsi="Times New Roman"/>
          <w:sz w:val="32"/>
          <w:szCs w:val="32"/>
        </w:rPr>
        <w:t xml:space="preserve"> %.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2 мероприятий Подпрограммы 1 исполнено </w:t>
      </w:r>
      <w:r w:rsidR="001B1C98">
        <w:rPr>
          <w:rFonts w:ascii="Times New Roman" w:hAnsi="Times New Roman"/>
          <w:sz w:val="32"/>
          <w:szCs w:val="32"/>
        </w:rPr>
        <w:t>2 мероприятия</w:t>
      </w:r>
      <w:r>
        <w:rPr>
          <w:rFonts w:ascii="Times New Roman" w:hAnsi="Times New Roman"/>
          <w:sz w:val="32"/>
          <w:szCs w:val="32"/>
        </w:rPr>
        <w:t>.  Исполнено 2 контрольных события Подпрограммы 1: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«Расходы на содержание сетей уличного освещения» основного ме</w:t>
      </w:r>
      <w:r w:rsidR="00FF5F37">
        <w:rPr>
          <w:rFonts w:ascii="Times New Roman" w:hAnsi="Times New Roman"/>
          <w:sz w:val="32"/>
          <w:szCs w:val="32"/>
        </w:rPr>
        <w:t>роприятия 1.1. по состоянию на 31.12</w:t>
      </w:r>
      <w:r>
        <w:rPr>
          <w:rFonts w:ascii="Times New Roman" w:hAnsi="Times New Roman"/>
          <w:sz w:val="32"/>
          <w:szCs w:val="32"/>
        </w:rPr>
        <w:t xml:space="preserve">.2015 года составило </w:t>
      </w:r>
      <w:r w:rsidR="00FF77C2">
        <w:rPr>
          <w:rFonts w:ascii="Times New Roman" w:hAnsi="Times New Roman"/>
          <w:sz w:val="32"/>
          <w:szCs w:val="32"/>
        </w:rPr>
        <w:t>1726,4</w:t>
      </w:r>
      <w:r>
        <w:rPr>
          <w:rFonts w:ascii="Times New Roman" w:hAnsi="Times New Roman"/>
          <w:sz w:val="32"/>
          <w:szCs w:val="32"/>
        </w:rPr>
        <w:t xml:space="preserve"> тыс.</w:t>
      </w:r>
      <w:r w:rsidR="000B461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руб., заключено </w:t>
      </w:r>
      <w:r w:rsidR="00FF77C2">
        <w:rPr>
          <w:rFonts w:ascii="Times New Roman" w:hAnsi="Times New Roman"/>
          <w:sz w:val="32"/>
          <w:szCs w:val="32"/>
        </w:rPr>
        <w:t>10 муниципальных контрактов</w:t>
      </w:r>
      <w:r>
        <w:rPr>
          <w:rFonts w:ascii="Times New Roman" w:hAnsi="Times New Roman"/>
          <w:sz w:val="32"/>
          <w:szCs w:val="32"/>
        </w:rPr>
        <w:t>, один из них на оплату з</w:t>
      </w:r>
      <w:r w:rsidR="00FF77C2">
        <w:rPr>
          <w:rFonts w:ascii="Times New Roman" w:hAnsi="Times New Roman"/>
          <w:sz w:val="32"/>
          <w:szCs w:val="32"/>
        </w:rPr>
        <w:t>а потребление активной энергии.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сетей уличного освещения» основного мероприятия 1.1. по состоянию на </w:t>
      </w:r>
      <w:r w:rsidR="001B1C98">
        <w:rPr>
          <w:rFonts w:ascii="Times New Roman" w:hAnsi="Times New Roman"/>
          <w:sz w:val="32"/>
          <w:szCs w:val="32"/>
        </w:rPr>
        <w:t>31</w:t>
      </w:r>
      <w:r>
        <w:rPr>
          <w:rFonts w:ascii="Times New Roman" w:hAnsi="Times New Roman"/>
          <w:sz w:val="32"/>
          <w:szCs w:val="32"/>
        </w:rPr>
        <w:t>.</w:t>
      </w:r>
      <w:r w:rsidR="001B1C98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 xml:space="preserve">.2015 года </w:t>
      </w:r>
      <w:r w:rsidR="00FF77C2">
        <w:rPr>
          <w:rFonts w:ascii="Times New Roman" w:hAnsi="Times New Roman"/>
          <w:sz w:val="32"/>
          <w:szCs w:val="32"/>
        </w:rPr>
        <w:t>–</w:t>
      </w:r>
      <w:r w:rsidR="001B1C98">
        <w:rPr>
          <w:rFonts w:ascii="Times New Roman" w:hAnsi="Times New Roman"/>
          <w:sz w:val="32"/>
          <w:szCs w:val="32"/>
        </w:rPr>
        <w:t xml:space="preserve"> </w:t>
      </w:r>
      <w:r w:rsidR="00FF77C2">
        <w:rPr>
          <w:rFonts w:ascii="Times New Roman" w:hAnsi="Times New Roman"/>
          <w:sz w:val="32"/>
          <w:szCs w:val="32"/>
        </w:rPr>
        <w:t>301,6 100% выполнение, заключено 4 контракта</w:t>
      </w:r>
      <w:r>
        <w:rPr>
          <w:rFonts w:ascii="Times New Roman" w:hAnsi="Times New Roman"/>
          <w:sz w:val="32"/>
          <w:szCs w:val="32"/>
        </w:rPr>
        <w:t>.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2 на 2015 год предусмотрено </w:t>
      </w:r>
      <w:r w:rsidR="00E13F2D">
        <w:rPr>
          <w:rFonts w:ascii="Times New Roman" w:hAnsi="Times New Roman"/>
          <w:sz w:val="32"/>
          <w:szCs w:val="32"/>
        </w:rPr>
        <w:t>4572,2</w:t>
      </w:r>
      <w:r>
        <w:rPr>
          <w:rFonts w:ascii="Times New Roman" w:hAnsi="Times New Roman"/>
          <w:sz w:val="32"/>
          <w:szCs w:val="32"/>
        </w:rPr>
        <w:t xml:space="preserve"> </w:t>
      </w:r>
      <w:r w:rsidR="00FF5F37">
        <w:rPr>
          <w:rFonts w:ascii="Times New Roman" w:hAnsi="Times New Roman"/>
          <w:sz w:val="32"/>
          <w:szCs w:val="32"/>
        </w:rPr>
        <w:t>тыс. рублей. По состоянию на 31.12</w:t>
      </w:r>
      <w:r>
        <w:rPr>
          <w:rFonts w:ascii="Times New Roman" w:hAnsi="Times New Roman"/>
          <w:sz w:val="32"/>
          <w:szCs w:val="32"/>
        </w:rPr>
        <w:t xml:space="preserve">.2015 года освоено </w:t>
      </w:r>
      <w:r w:rsidR="00FF77C2">
        <w:rPr>
          <w:rFonts w:ascii="Times New Roman" w:hAnsi="Times New Roman"/>
          <w:sz w:val="32"/>
          <w:szCs w:val="32"/>
        </w:rPr>
        <w:t xml:space="preserve">4572,1 </w:t>
      </w:r>
      <w:r>
        <w:rPr>
          <w:rFonts w:ascii="Times New Roman" w:hAnsi="Times New Roman"/>
          <w:sz w:val="32"/>
          <w:szCs w:val="32"/>
        </w:rPr>
        <w:t xml:space="preserve">тыс. руб. заключено </w:t>
      </w:r>
      <w:r w:rsidR="00FF77C2">
        <w:rPr>
          <w:rFonts w:ascii="Times New Roman" w:hAnsi="Times New Roman"/>
          <w:sz w:val="32"/>
          <w:szCs w:val="32"/>
        </w:rPr>
        <w:t>76 муниципальных контрактов</w:t>
      </w:r>
      <w:r>
        <w:rPr>
          <w:rFonts w:ascii="Times New Roman" w:hAnsi="Times New Roman"/>
          <w:sz w:val="32"/>
          <w:szCs w:val="32"/>
        </w:rPr>
        <w:t>.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3 на 2015 год предусмотрено </w:t>
      </w:r>
      <w:r w:rsidR="00E13F2D">
        <w:rPr>
          <w:rFonts w:ascii="Times New Roman" w:hAnsi="Times New Roman"/>
          <w:sz w:val="32"/>
          <w:szCs w:val="32"/>
        </w:rPr>
        <w:t>684,4</w:t>
      </w:r>
      <w:r w:rsidR="00FF5F37">
        <w:rPr>
          <w:rFonts w:ascii="Times New Roman" w:hAnsi="Times New Roman"/>
          <w:sz w:val="32"/>
          <w:szCs w:val="32"/>
        </w:rPr>
        <w:t xml:space="preserve"> тыс. рублей. По состоянию на 31.12</w:t>
      </w:r>
      <w:r>
        <w:rPr>
          <w:rFonts w:ascii="Times New Roman" w:hAnsi="Times New Roman"/>
          <w:sz w:val="32"/>
          <w:szCs w:val="32"/>
        </w:rPr>
        <w:t xml:space="preserve">.2015 года освоено </w:t>
      </w:r>
      <w:r w:rsidR="00FF77C2">
        <w:rPr>
          <w:rFonts w:ascii="Times New Roman" w:hAnsi="Times New Roman"/>
          <w:sz w:val="32"/>
          <w:szCs w:val="32"/>
        </w:rPr>
        <w:t>684,3</w:t>
      </w:r>
      <w:r>
        <w:rPr>
          <w:rFonts w:ascii="Times New Roman" w:hAnsi="Times New Roman"/>
          <w:sz w:val="32"/>
          <w:szCs w:val="32"/>
        </w:rPr>
        <w:t xml:space="preserve"> тыс. руб. заключен</w:t>
      </w:r>
      <w:r w:rsidR="00FF77C2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="00FF77C2">
        <w:rPr>
          <w:rFonts w:ascii="Times New Roman" w:hAnsi="Times New Roman"/>
          <w:sz w:val="32"/>
          <w:szCs w:val="32"/>
        </w:rPr>
        <w:t>8 муниципальных</w:t>
      </w:r>
      <w:r>
        <w:rPr>
          <w:rFonts w:ascii="Times New Roman" w:hAnsi="Times New Roman"/>
          <w:sz w:val="32"/>
          <w:szCs w:val="32"/>
        </w:rPr>
        <w:t xml:space="preserve"> контракт</w:t>
      </w:r>
      <w:r w:rsidR="00FF77C2">
        <w:rPr>
          <w:rFonts w:ascii="Times New Roman" w:hAnsi="Times New Roman"/>
          <w:sz w:val="32"/>
          <w:szCs w:val="32"/>
        </w:rPr>
        <w:t>ов.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исполнения по всем мероприятиям 3-х Подпрограмм наступил.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ряду контрольных событий Подпрограмм по итогам 2015 года можно оценить результаты: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FF77C2">
        <w:rPr>
          <w:rFonts w:ascii="Times New Roman" w:hAnsi="Times New Roman"/>
          <w:sz w:val="32"/>
          <w:szCs w:val="32"/>
        </w:rPr>
        <w:t>проведены мероприятия по содержанию</w:t>
      </w:r>
      <w:r>
        <w:rPr>
          <w:rFonts w:ascii="Times New Roman" w:hAnsi="Times New Roman"/>
          <w:sz w:val="32"/>
          <w:szCs w:val="32"/>
        </w:rPr>
        <w:t xml:space="preserve"> сетей уличного освещение;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мероприятия по содержанию зеленых насаждений</w:t>
      </w:r>
      <w:r w:rsidR="00FF77C2">
        <w:rPr>
          <w:rFonts w:ascii="Times New Roman" w:hAnsi="Times New Roman"/>
          <w:sz w:val="32"/>
          <w:szCs w:val="32"/>
        </w:rPr>
        <w:t>;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 покос сорной растительности</w:t>
      </w:r>
      <w:r w:rsidR="00FF77C2">
        <w:rPr>
          <w:rFonts w:ascii="Times New Roman" w:hAnsi="Times New Roman"/>
          <w:sz w:val="32"/>
          <w:szCs w:val="32"/>
        </w:rPr>
        <w:t>;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проведена </w:t>
      </w:r>
      <w:proofErr w:type="spellStart"/>
      <w:r>
        <w:rPr>
          <w:rFonts w:ascii="Times New Roman" w:hAnsi="Times New Roman"/>
          <w:sz w:val="32"/>
          <w:szCs w:val="32"/>
        </w:rPr>
        <w:t>акарицидная</w:t>
      </w:r>
      <w:proofErr w:type="spellEnd"/>
      <w:r>
        <w:rPr>
          <w:rFonts w:ascii="Times New Roman" w:hAnsi="Times New Roman"/>
          <w:sz w:val="32"/>
          <w:szCs w:val="32"/>
        </w:rPr>
        <w:t xml:space="preserve"> обработка кладбищ, парков.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итогам проведенного анализа исполнения плана реализации муниципальной программы Истоминского сельского поселения «Комплексное благоустройство территории поселения» </w:t>
      </w:r>
      <w:r w:rsidR="00FF77C2">
        <w:rPr>
          <w:rFonts w:ascii="Times New Roman" w:hAnsi="Times New Roman"/>
          <w:sz w:val="32"/>
          <w:szCs w:val="32"/>
        </w:rPr>
        <w:t>выявлено</w:t>
      </w:r>
      <w:r>
        <w:rPr>
          <w:rFonts w:ascii="Times New Roman" w:hAnsi="Times New Roman"/>
          <w:sz w:val="32"/>
          <w:szCs w:val="32"/>
        </w:rPr>
        <w:t xml:space="preserve"> 100% исполнение всех запланированных мероприятий до окончания срока их исполнения в 2015 году.</w:t>
      </w:r>
    </w:p>
    <w:p w:rsidR="006B728A" w:rsidRDefault="006B728A" w:rsidP="006B72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об исполнении плана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Комплексное благоустройство территории поселения</w:t>
      </w:r>
      <w:r>
        <w:rPr>
          <w:rFonts w:ascii="Times New Roman" w:hAnsi="Times New Roman"/>
          <w:sz w:val="32"/>
          <w:szCs w:val="32"/>
        </w:rPr>
        <w:t xml:space="preserve">» за </w:t>
      </w:r>
      <w:r w:rsidR="00FF5F37">
        <w:rPr>
          <w:rFonts w:ascii="Times New Roman" w:hAnsi="Times New Roman"/>
          <w:sz w:val="32"/>
          <w:szCs w:val="32"/>
        </w:rPr>
        <w:t>2015 год</w:t>
      </w:r>
      <w:r>
        <w:rPr>
          <w:rFonts w:ascii="Times New Roman" w:hAnsi="Times New Roman"/>
          <w:sz w:val="32"/>
          <w:szCs w:val="32"/>
        </w:rPr>
        <w:t xml:space="preserve"> представлен в приложении к пояснительной информации.   </w:t>
      </w:r>
    </w:p>
    <w:p w:rsidR="006B728A" w:rsidRDefault="006B728A" w:rsidP="006B728A"/>
    <w:p w:rsidR="006B728A" w:rsidRDefault="006B728A" w:rsidP="006B728A"/>
    <w:p w:rsidR="006B728A" w:rsidRDefault="006B728A" w:rsidP="006B728A"/>
    <w:p w:rsidR="006B728A" w:rsidRDefault="006B728A" w:rsidP="006B728A"/>
    <w:p w:rsidR="006B728A" w:rsidRDefault="006B728A" w:rsidP="006B728A"/>
    <w:p w:rsidR="006B728A" w:rsidRDefault="006B728A" w:rsidP="006B728A"/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728A">
          <w:pgSz w:w="11906" w:h="16838"/>
          <w:pgMar w:top="720" w:right="720" w:bottom="720" w:left="720" w:header="708" w:footer="708" w:gutter="0"/>
          <w:cols w:space="720"/>
        </w:sect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F37" w:rsidRDefault="00FF5F37" w:rsidP="00FF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FF5F37" w:rsidRDefault="00FF5F37" w:rsidP="00FF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«Комплексное благоустройство территории поселения»  </w:t>
      </w:r>
    </w:p>
    <w:p w:rsidR="00FF5F37" w:rsidRDefault="00FF5F37" w:rsidP="00FF5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01.01.2015 г. по 31.12.2015г.</w:t>
      </w:r>
    </w:p>
    <w:p w:rsidR="00FF5F37" w:rsidRDefault="00FF5F37" w:rsidP="00FF5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4"/>
        <w:gridCol w:w="1842"/>
        <w:gridCol w:w="1701"/>
        <w:gridCol w:w="8"/>
        <w:gridCol w:w="1698"/>
        <w:gridCol w:w="1560"/>
        <w:gridCol w:w="1701"/>
        <w:gridCol w:w="9"/>
        <w:gridCol w:w="1551"/>
        <w:gridCol w:w="1594"/>
      </w:tblGrid>
      <w:tr w:rsidR="00FF5F37" w:rsidTr="00DF2A97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</w:tr>
      <w:tr w:rsidR="00FF5F37" w:rsidTr="00DF2A97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37" w:rsidRDefault="00FF5F37" w:rsidP="00DF2A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37" w:rsidRDefault="00FF5F37" w:rsidP="00DF2A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37" w:rsidRDefault="00FF5F37" w:rsidP="00DF2A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37" w:rsidRDefault="00FF5F37" w:rsidP="00DF2A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37" w:rsidRDefault="00FF5F37" w:rsidP="00DF2A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37" w:rsidRDefault="00FF5F37" w:rsidP="00DF2A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&lt;1&gt;</w:t>
              </w:r>
            </w:hyperlink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37" w:rsidRDefault="00FF5F37" w:rsidP="00DF2A9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F37" w:rsidTr="00DF2A97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5F37" w:rsidTr="00DF2A97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4D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C98" w:rsidTr="00DF2A97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0B3A52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FF77C2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7283,4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6983,4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F5F37" w:rsidTr="00DF2A97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P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«Развитие и содержание сетей уличного освещения»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  <w:r w:rsidR="00FF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 в исправном состоянии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Pr="000B3A52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2028,0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Pr="000B3A52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2027,0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F5F37" w:rsidTr="00DF2A97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сетей уличного освещения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Плата за активную энергию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5F37" w:rsidTr="00DF2A97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сетей уличного освещения в исправном состоянии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874,2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F5F37" w:rsidTr="00DF2A97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сетей уличного освещения</w:t>
            </w:r>
          </w:p>
          <w:p w:rsidR="00FF5F37" w:rsidRDefault="00FF5F37" w:rsidP="00DF2A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5F37" w:rsidTr="00DF2A97">
        <w:trPr>
          <w:trHeight w:val="64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Подпрограмма 2 "Озеленение и благоустройство территории поселения"</w:t>
            </w:r>
          </w:p>
        </w:tc>
        <w:tc>
          <w:tcPr>
            <w:tcW w:w="9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F37" w:rsidTr="00DF2A97">
        <w:trPr>
          <w:trHeight w:val="7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F37" w:rsidRDefault="00FF5F37" w:rsidP="00DF2A9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F37" w:rsidRPr="00704FA8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04FA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F37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F37" w:rsidRDefault="001B1C98" w:rsidP="001B1C98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F37" w:rsidRPr="00704FA8" w:rsidRDefault="004D4529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4572,2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4572,1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F5F37" w:rsidTr="00DF2A97">
        <w:trPr>
          <w:trHeight w:val="1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Pr="00AA2B03" w:rsidRDefault="00FF5F37" w:rsidP="00DF2A97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Посадка и обрезка деревьев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4D4529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5F37" w:rsidTr="00DF2A97">
        <w:trPr>
          <w:trHeight w:val="183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snapToGri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1B1C98" w:rsidP="00DF2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зеленых насаждений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4D4529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5F37" w:rsidTr="00DF2A97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Pr="00AA2B03" w:rsidRDefault="00FF5F37" w:rsidP="00DF2A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территории поселения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Покос травы и уборка территории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D9229D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F5F37" w:rsidTr="00DF2A97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1B1C98" w:rsidP="00DF2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 по благоустройству территории поселения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D9229D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1416,1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F5F37" w:rsidTr="00DF2A97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ЖКХ Аракелян И.С.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1B1C98" w:rsidP="00DF2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работ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благоустройству территории поселения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D9229D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1232,3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F5F37" w:rsidTr="00DF2A97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ЖКХ Аракелян И.С.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1B1C98" w:rsidP="00DF2A9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имущество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5F37" w:rsidTr="00DF2A97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Pr="00AA2B03" w:rsidRDefault="00FF5F37" w:rsidP="001B1C98">
            <w:pPr>
              <w:autoSpaceDE w:val="0"/>
              <w:snapToGrid w:val="0"/>
              <w:spacing w:after="200" w:line="228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«Благоустройство муниципальных кладбищ»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</w:p>
        </w:tc>
      </w:tr>
      <w:tr w:rsidR="001B1C98" w:rsidTr="00DF2A97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1B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 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1B1C9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FF77C2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684,3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98" w:rsidRPr="00B77E4C" w:rsidRDefault="001B1C98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5F37" w:rsidTr="00DF2A97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кладбищ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ЖКХ Аракелян И.С. 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в общественных местах муниципальной территории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4D4529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684,3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37" w:rsidRDefault="00294B6E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5F37" w:rsidTr="00DF2A97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Pr="000B4617" w:rsidRDefault="000B461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37" w:rsidRDefault="00FF5F37" w:rsidP="00D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5F37" w:rsidRDefault="00FF5F37" w:rsidP="00FF5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F5F37" w:rsidRDefault="00FF5F37" w:rsidP="00FF5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F5F37" w:rsidRDefault="00FF5F37" w:rsidP="00FF5F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F5F37" w:rsidRDefault="00FF5F37" w:rsidP="00FF5F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Истоминского</w:t>
      </w:r>
    </w:p>
    <w:p w:rsidR="00FF5F37" w:rsidRDefault="00FF5F37" w:rsidP="00FF5F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Л.Н.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Флюта</w:t>
      </w:r>
      <w:proofErr w:type="spellEnd"/>
    </w:p>
    <w:p w:rsidR="00FF5F37" w:rsidRDefault="00FF5F37" w:rsidP="00FF5F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F37" w:rsidRDefault="00FF5F37" w:rsidP="00FF5F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F37" w:rsidRDefault="00FF5F37" w:rsidP="00FF5F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F37" w:rsidRDefault="00FF5F37" w:rsidP="00FF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5F37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FF5F37" w:rsidRDefault="00FF5F37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28A" w:rsidRDefault="006B728A" w:rsidP="006B72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728A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6B728A" w:rsidRDefault="006B728A" w:rsidP="006B72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44" w:rsidRDefault="00FF77C2"/>
    <w:sectPr w:rsidR="0016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1A"/>
    <w:rsid w:val="000B4617"/>
    <w:rsid w:val="0018013C"/>
    <w:rsid w:val="001B1C98"/>
    <w:rsid w:val="00294B6E"/>
    <w:rsid w:val="003514FC"/>
    <w:rsid w:val="004A2064"/>
    <w:rsid w:val="004D4529"/>
    <w:rsid w:val="006B728A"/>
    <w:rsid w:val="00A90F8F"/>
    <w:rsid w:val="00B77E4C"/>
    <w:rsid w:val="00D9229D"/>
    <w:rsid w:val="00E13F2D"/>
    <w:rsid w:val="00F45B1A"/>
    <w:rsid w:val="00FF5F37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3A9B-4389-47F1-BCA7-E6E63ECC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2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72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6B7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728A"/>
    <w:rPr>
      <w:color w:val="0000FF"/>
      <w:u w:val="single"/>
    </w:rPr>
  </w:style>
  <w:style w:type="paragraph" w:styleId="a4">
    <w:name w:val="No Spacing"/>
    <w:uiPriority w:val="1"/>
    <w:qFormat/>
    <w:rsid w:val="001B1C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6;&#1090;&#1095;&#1077;&#1090;&#1099;%20&#1087;&#1086;%20&#1087;&#1088;&#1086;&#1075;&#1088;&#1072;&#1084;&#1084;&#1072;&#1084;%20&#1040;&#1088;&#1072;&#1082;&#1077;&#1083;&#1103;&#1085;\425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2016-05-18T14:23:00Z</cp:lastPrinted>
  <dcterms:created xsi:type="dcterms:W3CDTF">2016-02-09T12:22:00Z</dcterms:created>
  <dcterms:modified xsi:type="dcterms:W3CDTF">2016-05-18T14:32:00Z</dcterms:modified>
</cp:coreProperties>
</file>