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7B6551" w:rsidRPr="002C1953" w:rsidTr="00BB32CB">
        <w:trPr>
          <w:trHeight w:val="1438"/>
        </w:trPr>
        <w:tc>
          <w:tcPr>
            <w:tcW w:w="10061" w:type="dxa"/>
            <w:vAlign w:val="center"/>
          </w:tcPr>
          <w:p w:rsidR="007B6551" w:rsidRPr="002C1953" w:rsidRDefault="005F6181" w:rsidP="005F618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bookmarkStart w:id="0" w:name="_GoBack"/>
            <w:bookmarkEnd w:id="0"/>
            <w:r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="00EA4259"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B6551"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B6551" w:rsidRPr="002C19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927389" wp14:editId="04674BD4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551"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EA4259" w:rsidRPr="002C1953">
              <w:rPr>
                <w:i/>
                <w:sz w:val="24"/>
                <w:szCs w:val="24"/>
              </w:rPr>
              <w:t xml:space="preserve"> </w:t>
            </w:r>
            <w:r w:rsidR="007B6551"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B6551" w:rsidRPr="002C1953" w:rsidTr="00D8541C">
        <w:trPr>
          <w:trHeight w:val="1864"/>
        </w:trPr>
        <w:tc>
          <w:tcPr>
            <w:tcW w:w="10061" w:type="dxa"/>
            <w:vAlign w:val="center"/>
          </w:tcPr>
          <w:p w:rsidR="007B6551" w:rsidRPr="002C1953" w:rsidRDefault="007B6551" w:rsidP="005F618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proofErr w:type="gramStart"/>
            <w:r w:rsidRPr="002C1953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АДМИНИСТРАЦИЯ  </w:t>
            </w:r>
            <w:r w:rsidR="00C069AE" w:rsidRPr="002C1953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ИСТОМИНСКОГО</w:t>
            </w:r>
            <w:proofErr w:type="gramEnd"/>
            <w:r w:rsidRPr="002C1953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F6181" w:rsidRPr="002C1953" w:rsidRDefault="005F6181" w:rsidP="005F6181">
            <w:pPr>
              <w:keepNext/>
              <w:spacing w:before="240" w:after="6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B6551" w:rsidRPr="002C1953" w:rsidRDefault="007B6551" w:rsidP="007B65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7B6551" w:rsidRPr="002C1953" w:rsidTr="00BB32CB">
        <w:trPr>
          <w:trHeight w:val="397"/>
        </w:trPr>
        <w:tc>
          <w:tcPr>
            <w:tcW w:w="10061" w:type="dxa"/>
            <w:vAlign w:val="center"/>
          </w:tcPr>
          <w:p w:rsidR="00D8541C" w:rsidRPr="002C1953" w:rsidRDefault="00D8541C" w:rsidP="00D85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41C" w:rsidRPr="002C1953" w:rsidRDefault="00974F31" w:rsidP="003D0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30.12.2013г.                     </w:t>
            </w:r>
            <w:r w:rsidR="00D8541C"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№ 444</w:t>
            </w:r>
          </w:p>
          <w:p w:rsidR="007B6551" w:rsidRPr="002C1953" w:rsidRDefault="007B6551" w:rsidP="00D85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r w:rsidR="00D8541C" w:rsidRPr="002C1953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Островского</w:t>
            </w:r>
          </w:p>
        </w:tc>
      </w:tr>
    </w:tbl>
    <w:p w:rsidR="00974F31" w:rsidRPr="002C1953" w:rsidRDefault="00974F31" w:rsidP="007B6551">
      <w:pPr>
        <w:spacing w:after="0" w:line="240" w:lineRule="auto"/>
        <w:ind w:right="4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</w:t>
      </w:r>
    </w:p>
    <w:p w:rsidR="00974F31" w:rsidRPr="002C1953" w:rsidRDefault="00974F31" w:rsidP="007B6551">
      <w:pPr>
        <w:spacing w:after="0" w:line="240" w:lineRule="auto"/>
        <w:ind w:right="4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 сельского поселения</w:t>
      </w:r>
    </w:p>
    <w:p w:rsidR="007B6551" w:rsidRPr="002C1953" w:rsidRDefault="00974F31" w:rsidP="007B6551">
      <w:pPr>
        <w:spacing w:after="0" w:line="240" w:lineRule="auto"/>
        <w:ind w:right="4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качественными жилищно-коммунальными услугами населения»</w:t>
      </w:r>
    </w:p>
    <w:p w:rsidR="007B6551" w:rsidRPr="002C1953" w:rsidRDefault="007B6551" w:rsidP="007B6551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1" w:rsidRPr="002C1953" w:rsidRDefault="007B6551" w:rsidP="007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Бюджетным </w:t>
      </w:r>
      <w:proofErr w:type="gramStart"/>
      <w:r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</w:t>
      </w:r>
      <w:proofErr w:type="gramEnd"/>
      <w:r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 </w:t>
      </w:r>
      <w:r w:rsidR="00D8541C"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  <w:r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6551" w:rsidRPr="002C1953" w:rsidRDefault="007B6551" w:rsidP="007B6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51" w:rsidRPr="002C1953" w:rsidRDefault="007B6551" w:rsidP="007B65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95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7B6551" w:rsidRPr="002C1953" w:rsidRDefault="00974F31" w:rsidP="007B6551">
      <w:pPr>
        <w:numPr>
          <w:ilvl w:val="0"/>
          <w:numId w:val="1"/>
        </w:numPr>
        <w:tabs>
          <w:tab w:val="clear" w:pos="1080"/>
          <w:tab w:val="num" w:pos="0"/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953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C069AE" w:rsidRPr="002C1953">
        <w:rPr>
          <w:rFonts w:ascii="Times New Roman" w:eastAsia="Calibri" w:hAnsi="Times New Roman" w:cs="Times New Roman"/>
          <w:sz w:val="24"/>
          <w:szCs w:val="24"/>
        </w:rPr>
        <w:t xml:space="preserve"> муниципальную программу </w:t>
      </w:r>
      <w:r w:rsidR="007B6551" w:rsidRPr="002C1953">
        <w:rPr>
          <w:rFonts w:ascii="Times New Roman" w:eastAsia="Calibri" w:hAnsi="Times New Roman" w:cs="Times New Roman"/>
          <w:sz w:val="24"/>
          <w:szCs w:val="24"/>
        </w:rPr>
        <w:t>«</w:t>
      </w:r>
      <w:r w:rsidR="007B6551"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качественными жилищн</w:t>
      </w:r>
      <w:r w:rsidR="008C78B3"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>о-коммунальными</w:t>
      </w:r>
      <w:r w:rsidR="007B6551"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населения </w:t>
      </w:r>
      <w:r w:rsidR="00C069AE"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</w:t>
      </w:r>
      <w:r w:rsidR="007B6551" w:rsidRPr="002C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B6551" w:rsidRPr="002C1953">
        <w:rPr>
          <w:rFonts w:ascii="Times New Roman" w:eastAsia="Calibri" w:hAnsi="Times New Roman" w:cs="Times New Roman"/>
          <w:sz w:val="24"/>
          <w:szCs w:val="24"/>
        </w:rPr>
        <w:t>» в муниципальном образовании «</w:t>
      </w:r>
      <w:proofErr w:type="spellStart"/>
      <w:r w:rsidR="00C069AE" w:rsidRPr="002C1953">
        <w:rPr>
          <w:rFonts w:ascii="Times New Roman" w:eastAsia="Calibri" w:hAnsi="Times New Roman" w:cs="Times New Roman"/>
          <w:sz w:val="24"/>
          <w:szCs w:val="24"/>
        </w:rPr>
        <w:t>Истоминское</w:t>
      </w:r>
      <w:proofErr w:type="spellEnd"/>
      <w:r w:rsidR="007B6551" w:rsidRPr="002C195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согласно </w:t>
      </w:r>
      <w:proofErr w:type="gramStart"/>
      <w:r w:rsidR="007B6551" w:rsidRPr="002C1953">
        <w:rPr>
          <w:rFonts w:ascii="Times New Roman" w:eastAsia="Calibri" w:hAnsi="Times New Roman" w:cs="Times New Roman"/>
          <w:sz w:val="24"/>
          <w:szCs w:val="24"/>
        </w:rPr>
        <w:t>приложению</w:t>
      </w:r>
      <w:proofErr w:type="gramEnd"/>
      <w:r w:rsidR="007B6551" w:rsidRPr="002C1953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постановлению.</w:t>
      </w:r>
    </w:p>
    <w:p w:rsidR="007B6551" w:rsidRPr="002C1953" w:rsidRDefault="007B6551" w:rsidP="007B6551">
      <w:pPr>
        <w:numPr>
          <w:ilvl w:val="0"/>
          <w:numId w:val="1"/>
        </w:numPr>
        <w:tabs>
          <w:tab w:val="clear" w:pos="1080"/>
          <w:tab w:val="num" w:pos="0"/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953">
        <w:rPr>
          <w:rFonts w:ascii="Times New Roman" w:eastAsia="Calibri" w:hAnsi="Times New Roman" w:cs="Times New Roman"/>
          <w:sz w:val="24"/>
          <w:szCs w:val="24"/>
        </w:rPr>
        <w:t xml:space="preserve">Обеспечить размещение настоящего постановления </w:t>
      </w:r>
      <w:proofErr w:type="gramStart"/>
      <w:r w:rsidRPr="002C1953">
        <w:rPr>
          <w:rFonts w:ascii="Times New Roman" w:eastAsia="Calibri" w:hAnsi="Times New Roman" w:cs="Times New Roman"/>
          <w:sz w:val="24"/>
          <w:szCs w:val="24"/>
        </w:rPr>
        <w:t>на  официальном</w:t>
      </w:r>
      <w:proofErr w:type="gramEnd"/>
      <w:r w:rsidRPr="002C1953">
        <w:rPr>
          <w:rFonts w:ascii="Times New Roman" w:eastAsia="Calibri" w:hAnsi="Times New Roman" w:cs="Times New Roman"/>
          <w:sz w:val="24"/>
          <w:szCs w:val="24"/>
        </w:rPr>
        <w:t xml:space="preserve"> сайте муниципального образования «</w:t>
      </w:r>
      <w:proofErr w:type="spellStart"/>
      <w:r w:rsidR="00C069AE" w:rsidRPr="002C1953">
        <w:rPr>
          <w:rFonts w:ascii="Times New Roman" w:eastAsia="Calibri" w:hAnsi="Times New Roman" w:cs="Times New Roman"/>
          <w:sz w:val="24"/>
          <w:szCs w:val="24"/>
        </w:rPr>
        <w:t>Истоминское</w:t>
      </w:r>
      <w:proofErr w:type="spellEnd"/>
      <w:r w:rsidRPr="002C195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 сети Интернет.</w:t>
      </w:r>
    </w:p>
    <w:p w:rsidR="007B6551" w:rsidRPr="002C1953" w:rsidRDefault="007B6551" w:rsidP="007B6551">
      <w:pPr>
        <w:numPr>
          <w:ilvl w:val="0"/>
          <w:numId w:val="1"/>
        </w:numPr>
        <w:tabs>
          <w:tab w:val="clear" w:pos="1080"/>
          <w:tab w:val="num" w:pos="0"/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953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EB770F" w:rsidRPr="002C1953"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="00974F31" w:rsidRPr="002C19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70F" w:rsidRPr="002C1953" w:rsidRDefault="00EB770F" w:rsidP="00EB77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551" w:rsidRPr="002C1953" w:rsidRDefault="007B6551" w:rsidP="007B6551">
      <w:pPr>
        <w:rPr>
          <w:rFonts w:ascii="Times New Roman" w:eastAsia="Calibri" w:hAnsi="Times New Roman" w:cs="Times New Roman"/>
          <w:sz w:val="24"/>
          <w:szCs w:val="24"/>
        </w:rPr>
      </w:pPr>
    </w:p>
    <w:p w:rsidR="00974F31" w:rsidRPr="002C1953" w:rsidRDefault="007B6551" w:rsidP="007B6551">
      <w:pPr>
        <w:rPr>
          <w:rFonts w:ascii="Times New Roman" w:eastAsia="Calibri" w:hAnsi="Times New Roman" w:cs="Times New Roman"/>
          <w:sz w:val="24"/>
          <w:szCs w:val="24"/>
        </w:rPr>
      </w:pPr>
      <w:r w:rsidRPr="002C195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069AE" w:rsidRPr="002C1953">
        <w:rPr>
          <w:rFonts w:ascii="Times New Roman" w:eastAsia="Calibri" w:hAnsi="Times New Roman" w:cs="Times New Roman"/>
          <w:sz w:val="24"/>
          <w:szCs w:val="24"/>
        </w:rPr>
        <w:t>Истоминского</w:t>
      </w:r>
      <w:r w:rsidRPr="002C19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1953" w:rsidRPr="002C1953" w:rsidRDefault="007B6551" w:rsidP="007B6551">
      <w:pPr>
        <w:rPr>
          <w:rFonts w:ascii="Times New Roman" w:eastAsia="Calibri" w:hAnsi="Times New Roman" w:cs="Times New Roman"/>
          <w:sz w:val="24"/>
          <w:szCs w:val="24"/>
        </w:rPr>
      </w:pPr>
      <w:r w:rsidRPr="002C195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</w:t>
      </w:r>
      <w:r w:rsidR="00974F31" w:rsidRPr="002C195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C195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74F31" w:rsidRPr="002C1953">
        <w:rPr>
          <w:rFonts w:ascii="Times New Roman" w:eastAsia="Calibri" w:hAnsi="Times New Roman" w:cs="Times New Roman"/>
          <w:sz w:val="24"/>
          <w:szCs w:val="24"/>
        </w:rPr>
        <w:t xml:space="preserve">А.И. Корниенко </w:t>
      </w:r>
    </w:p>
    <w:p w:rsidR="00974F31" w:rsidRDefault="002C1953" w:rsidP="002C1953">
      <w:pPr>
        <w:tabs>
          <w:tab w:val="left" w:pos="117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5473AC" w:rsidRDefault="005473AC" w:rsidP="007B6551">
      <w:pPr>
        <w:rPr>
          <w:rFonts w:ascii="Times New Roman" w:eastAsia="Calibri" w:hAnsi="Times New Roman" w:cs="Times New Roman"/>
          <w:sz w:val="28"/>
          <w:szCs w:val="28"/>
        </w:rPr>
      </w:pPr>
    </w:p>
    <w:p w:rsidR="00974F31" w:rsidRDefault="00974F31" w:rsidP="007B6551">
      <w:pPr>
        <w:rPr>
          <w:rFonts w:ascii="Times New Roman" w:eastAsia="Calibri" w:hAnsi="Times New Roman" w:cs="Times New Roman"/>
          <w:sz w:val="28"/>
          <w:szCs w:val="28"/>
        </w:rPr>
      </w:pPr>
    </w:p>
    <w:p w:rsidR="003D0C42" w:rsidRPr="007B6551" w:rsidRDefault="003D0C42" w:rsidP="007B6551">
      <w:pPr>
        <w:rPr>
          <w:rFonts w:ascii="Times New Roman" w:eastAsia="Calibri" w:hAnsi="Times New Roman" w:cs="Times New Roman"/>
          <w:sz w:val="28"/>
          <w:szCs w:val="28"/>
        </w:rPr>
      </w:pPr>
    </w:p>
    <w:p w:rsidR="00276CCC" w:rsidRDefault="00974F31" w:rsidP="00974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7B6551" w:rsidRPr="007B6551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76CCC" w:rsidRDefault="007B6551" w:rsidP="00276CC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CC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7B6551">
        <w:rPr>
          <w:rFonts w:ascii="Times New Roman" w:eastAsia="Calibri" w:hAnsi="Times New Roman" w:cs="Times New Roman"/>
          <w:sz w:val="28"/>
          <w:szCs w:val="28"/>
        </w:rPr>
        <w:t xml:space="preserve">постановлению Администрации </w:t>
      </w:r>
      <w:r w:rsidR="00C069AE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7B65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7B6551" w:rsidRPr="007B6551" w:rsidRDefault="007B6551" w:rsidP="00276CC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551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 w:rsidR="00974F31">
        <w:rPr>
          <w:rFonts w:ascii="Times New Roman" w:eastAsia="Calibri" w:hAnsi="Times New Roman" w:cs="Times New Roman"/>
          <w:sz w:val="28"/>
          <w:szCs w:val="28"/>
        </w:rPr>
        <w:t>30</w:t>
      </w:r>
      <w:r w:rsidRPr="007B6551">
        <w:rPr>
          <w:rFonts w:ascii="Times New Roman" w:eastAsia="Calibri" w:hAnsi="Times New Roman" w:cs="Times New Roman"/>
          <w:sz w:val="28"/>
          <w:szCs w:val="28"/>
        </w:rPr>
        <w:t>»</w:t>
      </w:r>
      <w:r w:rsidR="00276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F31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7B655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74F31">
        <w:rPr>
          <w:rFonts w:ascii="Times New Roman" w:eastAsia="Calibri" w:hAnsi="Times New Roman" w:cs="Times New Roman"/>
          <w:sz w:val="28"/>
          <w:szCs w:val="28"/>
        </w:rPr>
        <w:t>3</w:t>
      </w:r>
      <w:r w:rsidRPr="007B655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74F31">
        <w:rPr>
          <w:rFonts w:ascii="Times New Roman" w:eastAsia="Calibri" w:hAnsi="Times New Roman" w:cs="Times New Roman"/>
          <w:sz w:val="28"/>
          <w:szCs w:val="28"/>
        </w:rPr>
        <w:t>444</w:t>
      </w:r>
    </w:p>
    <w:p w:rsidR="007B6551" w:rsidRPr="007B6551" w:rsidRDefault="007B6551" w:rsidP="007B65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687" w:rsidRPr="00D24687" w:rsidRDefault="00D24687" w:rsidP="00D246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687">
        <w:rPr>
          <w:rFonts w:ascii="Times New Roman" w:eastAsia="Calibri" w:hAnsi="Times New Roman" w:cs="Times New Roman"/>
          <w:b/>
          <w:sz w:val="28"/>
          <w:szCs w:val="28"/>
        </w:rPr>
        <w:t>ПАСПОРТ МУНИЦИПАЛЬНОЙ ПРОГРАММЫ</w:t>
      </w:r>
    </w:p>
    <w:p w:rsidR="00D24687" w:rsidRDefault="00D24687" w:rsidP="004330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68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ОБЕСЕПЕЧЕНИЕ КАЧЕСТВЕННЫМИ ЖИЛИЩН</w:t>
      </w:r>
      <w:r w:rsidR="008C78B3">
        <w:rPr>
          <w:rFonts w:ascii="Times New Roman" w:eastAsia="Calibri" w:hAnsi="Times New Roman" w:cs="Times New Roman"/>
          <w:b/>
          <w:sz w:val="28"/>
          <w:szCs w:val="28"/>
        </w:rPr>
        <w:t>О-КОММУНАЛЬНЫМИ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УСЛУГАМИ НАСЕЛЕНИЯ</w:t>
      </w:r>
      <w:r w:rsidRPr="00D24687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43A3" w:rsidRPr="00D24687" w:rsidRDefault="002743A3" w:rsidP="00D246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3261"/>
        <w:gridCol w:w="7087"/>
      </w:tblGrid>
      <w:tr w:rsidR="00D24687" w:rsidRPr="00D24687" w:rsidTr="00F373B8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7334AB" w:rsidRDefault="00D24687" w:rsidP="0043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«Обеспечение </w:t>
            </w:r>
            <w:r w:rsidR="004031AD" w:rsidRPr="007334AB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качественными</w:t>
            </w:r>
            <w:r w:rsidR="008C7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жилищно-коммунальными </w:t>
            </w:r>
            <w:r w:rsidR="004031AD" w:rsidRPr="007334AB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населения</w:t>
            </w:r>
            <w:r w:rsidRPr="007334AB">
              <w:rPr>
                <w:rFonts w:ascii="Times New Roman" w:eastAsia="Calibri" w:hAnsi="Times New Roman" w:cs="Times New Roman"/>
                <w:sz w:val="24"/>
                <w:szCs w:val="24"/>
              </w:rPr>
              <w:t>» (далее - Программа</w:t>
            </w:r>
            <w:proofErr w:type="gramStart"/>
            <w:r w:rsidRPr="007334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330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D24687" w:rsidRPr="00D24687" w:rsidTr="00F373B8">
        <w:trPr>
          <w:trHeight w:val="7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7334AB" w:rsidRDefault="002461F4" w:rsidP="00C0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D24687" w:rsidRPr="0073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9AE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r w:rsidR="00D24687" w:rsidRPr="0073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24687" w:rsidRPr="00D24687" w:rsidTr="00F373B8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7334AB" w:rsidRDefault="00A82F3A" w:rsidP="00D24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4687" w:rsidRPr="00D24687" w:rsidTr="00F373B8">
        <w:trPr>
          <w:trHeight w:val="7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7334AB" w:rsidRDefault="00D24687" w:rsidP="00D24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A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069A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7334A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</w:tr>
      <w:tr w:rsidR="00D24687" w:rsidRPr="00D24687" w:rsidTr="00F373B8">
        <w:trPr>
          <w:trHeight w:val="10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A21C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90" w:rsidRPr="002461F4" w:rsidRDefault="003C3790" w:rsidP="002461F4">
            <w:pPr>
              <w:pStyle w:val="aff"/>
              <w:numPr>
                <w:ilvl w:val="0"/>
                <w:numId w:val="11"/>
              </w:numPr>
              <w:spacing w:after="60" w:line="223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61F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жилищно</w:t>
            </w:r>
            <w:r w:rsidR="0066017F" w:rsidRPr="002461F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-коммунального хозяйства</w:t>
            </w:r>
            <w:r w:rsidR="00A21C36" w:rsidRPr="002461F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»;</w:t>
            </w:r>
          </w:p>
        </w:tc>
      </w:tr>
      <w:tr w:rsidR="00D24687" w:rsidRPr="00D24687" w:rsidTr="00F373B8">
        <w:trPr>
          <w:trHeight w:val="1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Программно-целевые инструменты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7334AB" w:rsidRDefault="00D24687" w:rsidP="00D24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334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4687" w:rsidRPr="00D24687" w:rsidTr="00F373B8">
        <w:trPr>
          <w:trHeight w:val="1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ED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ц</w:t>
            </w: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B" w:rsidRDefault="00ED47EB" w:rsidP="00ED4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sz w:val="24"/>
                <w:szCs w:val="24"/>
              </w:rPr>
              <w:t>- развитие коммунальной инфраструктуры;</w:t>
            </w:r>
          </w:p>
          <w:p w:rsidR="00A21CEF" w:rsidRPr="007334AB" w:rsidRDefault="00A21CEF" w:rsidP="00ED4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и ремонт объектов жилищно-коммунального хозяйства;</w:t>
            </w:r>
          </w:p>
          <w:p w:rsidR="00D24687" w:rsidRDefault="00ED47EB" w:rsidP="00A46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sz w:val="24"/>
                <w:szCs w:val="24"/>
              </w:rPr>
              <w:t>- повышением качества водоснабжения, в результате мод</w:t>
            </w:r>
            <w:r w:rsidR="00A4628E" w:rsidRPr="007334AB">
              <w:rPr>
                <w:rFonts w:ascii="Times New Roman" w:hAnsi="Times New Roman" w:cs="Times New Roman"/>
                <w:sz w:val="24"/>
                <w:szCs w:val="24"/>
              </w:rPr>
              <w:t>ернизации систем водоснабжения</w:t>
            </w:r>
          </w:p>
          <w:p w:rsidR="005473AC" w:rsidRPr="007334AB" w:rsidRDefault="005473AC" w:rsidP="00A46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управления многоквартирными домами</w:t>
            </w:r>
          </w:p>
        </w:tc>
      </w:tr>
      <w:tr w:rsidR="00D24687" w:rsidRPr="00D24687" w:rsidTr="00ED47EB">
        <w:trPr>
          <w:trHeight w:val="6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B" w:rsidRPr="007334AB" w:rsidRDefault="00242A89" w:rsidP="00A4628E">
            <w:pPr>
              <w:tabs>
                <w:tab w:val="left" w:pos="332"/>
              </w:tabs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7EB" w:rsidRPr="007334A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</w:t>
            </w:r>
            <w:r w:rsidR="006601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D47EB" w:rsidRPr="007334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модернизации систем водоснабжения,</w:t>
            </w:r>
            <w:r w:rsidR="00ED47EB"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бесперебойной </w:t>
            </w:r>
            <w:r w:rsidR="00ED47EB"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подачи</w:t>
            </w:r>
            <w:r w:rsidR="00ED47EB"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питьевой воды и отвода сточных вод;</w:t>
            </w:r>
          </w:p>
          <w:p w:rsidR="00ED47EB" w:rsidRPr="007334AB" w:rsidRDefault="00242A89" w:rsidP="00A462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23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47EB"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мощности сетей и сооружений </w:t>
            </w:r>
            <w:r w:rsidR="00ED47EB"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  <w:t>в</w:t>
            </w:r>
            <w:r w:rsidR="00ED47EB"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результате реконструкции, строительства, капитального ремонта;</w:t>
            </w:r>
          </w:p>
          <w:p w:rsidR="00242A89" w:rsidRPr="007334AB" w:rsidRDefault="00ED47EB" w:rsidP="00A462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23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-обеспечение возможности подключения вновь </w:t>
            </w:r>
            <w:r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  <w:t>строящихся</w:t>
            </w: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(реконструируемых) объектов </w:t>
            </w:r>
            <w:r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  <w:t>недвижимости</w:t>
            </w: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системам водоснабжения с гарантированным объемом </w:t>
            </w:r>
            <w:r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заявленных</w:t>
            </w: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мощностей в конкретной точке </w:t>
            </w:r>
            <w:r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  <w:t>на</w:t>
            </w: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существующем трубопроводе необходимого </w:t>
            </w:r>
            <w:r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  <w:t>диаметра</w:t>
            </w: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D47EB" w:rsidRPr="007334AB" w:rsidRDefault="00ED47EB" w:rsidP="00A462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23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-модернизация существующих сетей, имеющих </w:t>
            </w:r>
            <w:r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  <w:t>недостаточную</w:t>
            </w: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пропускную способность;</w:t>
            </w:r>
          </w:p>
          <w:p w:rsidR="00D24687" w:rsidRDefault="00E57D70" w:rsidP="00A462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23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ED47EB"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техногенного воздействия </w:t>
            </w:r>
            <w:r w:rsidR="00ED47EB"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  <w:t>на</w:t>
            </w:r>
            <w:r w:rsidR="00ED47EB"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</w:t>
            </w:r>
            <w:r w:rsidR="000E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ающую среду в результате аварий;</w:t>
            </w:r>
          </w:p>
          <w:p w:rsidR="000E51DC" w:rsidRPr="007334AB" w:rsidRDefault="000E51DC" w:rsidP="000E51D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23" w:lineRule="auto"/>
              <w:ind w:left="33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-содержание объектов жилищно-коммунального хозяйства. </w:t>
            </w:r>
          </w:p>
        </w:tc>
      </w:tr>
      <w:tr w:rsidR="00D24687" w:rsidRPr="00D24687" w:rsidTr="00F373B8">
        <w:trPr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Целевые индикаторы и показатели</w:t>
            </w:r>
            <w:r w:rsidRPr="00D2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AB" w:rsidRPr="007334AB" w:rsidRDefault="00684350" w:rsidP="007334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снижение уровня износа объектов коммунальной инфраструктуры; </w:t>
            </w: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доля внебюджетных источников в общем объеме инвестиций в модернизацию коммунальной инфраструктуры; </w:t>
            </w: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</w:t>
            </w:r>
            <w:r w:rsidR="007334AB"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4687" w:rsidRPr="007334AB" w:rsidRDefault="007334AB" w:rsidP="007334AB">
            <w:pPr>
              <w:spacing w:after="0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освоение средств бюджета.</w:t>
            </w:r>
            <w:r w:rsidR="00684350"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4687" w:rsidRPr="00D24687" w:rsidTr="00F373B8">
        <w:trPr>
          <w:trHeight w:val="6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сроки реализации программы</w:t>
            </w:r>
            <w:r w:rsidRPr="00D2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7334AB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 w:rsidR="003C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годы:</w:t>
            </w:r>
          </w:p>
          <w:p w:rsidR="00D24687" w:rsidRPr="007334AB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1этап-2014</w:t>
            </w:r>
            <w:r w:rsidR="003C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Pr="0073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C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4687" w:rsidRPr="007334AB" w:rsidRDefault="00D24687" w:rsidP="003C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этап-201</w:t>
            </w:r>
            <w:r w:rsidR="003C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7-2020</w:t>
            </w:r>
            <w:r w:rsidRPr="0073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C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4687" w:rsidRPr="00D24687" w:rsidTr="00F373B8">
        <w:trPr>
          <w:trHeight w:val="1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C4" w:rsidRDefault="00E608C4" w:rsidP="00E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в 2014 – 2020 годах – </w:t>
            </w:r>
            <w:r w:rsidR="00974F31">
              <w:rPr>
                <w:rFonts w:ascii="Times New Roman" w:hAnsi="Times New Roman" w:cs="Times New Roman"/>
                <w:sz w:val="24"/>
                <w:szCs w:val="24"/>
              </w:rPr>
              <w:t>2694,2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местного бюджета, в том числе по годам:</w:t>
            </w:r>
          </w:p>
          <w:p w:rsidR="00E608C4" w:rsidRDefault="00E608C4" w:rsidP="00E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974F31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8C4" w:rsidRDefault="00E608C4" w:rsidP="00E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974F31">
              <w:rPr>
                <w:rFonts w:ascii="Times New Roman" w:hAnsi="Times New Roman" w:cs="Times New Roman"/>
                <w:sz w:val="24"/>
                <w:szCs w:val="24"/>
              </w:rPr>
              <w:t xml:space="preserve">411,7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8C4" w:rsidRDefault="00E608C4" w:rsidP="00E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74F31">
              <w:rPr>
                <w:rFonts w:ascii="Times New Roman" w:hAnsi="Times New Roman" w:cs="Times New Roman"/>
                <w:sz w:val="24"/>
                <w:szCs w:val="24"/>
              </w:rPr>
              <w:t>411,7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8C4" w:rsidRDefault="00E608C4" w:rsidP="00E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974F31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8C4" w:rsidRDefault="00E608C4" w:rsidP="00E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974F31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8C4" w:rsidRDefault="00E608C4" w:rsidP="00E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974F31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790" w:rsidRPr="007334AB" w:rsidRDefault="00E608C4" w:rsidP="00974F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974F31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687" w:rsidRPr="00D24687" w:rsidTr="00F373B8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D24687" w:rsidRPr="00D24687" w:rsidRDefault="00D24687" w:rsidP="00D2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D" w:rsidRPr="007334AB" w:rsidRDefault="0027731D" w:rsidP="0027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уровня износа объектов коммунальной инфраструктуры;</w:t>
            </w:r>
          </w:p>
          <w:p w:rsidR="0027731D" w:rsidRPr="007334AB" w:rsidRDefault="0027731D" w:rsidP="0027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потерь в сетях водоснабжения до 15%;</w:t>
            </w:r>
          </w:p>
          <w:p w:rsidR="00D24687" w:rsidRPr="007334AB" w:rsidRDefault="0027731D" w:rsidP="00A46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73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-обеспечение бесперебойной подачи </w:t>
            </w:r>
            <w:r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качественной</w:t>
            </w:r>
            <w:r w:rsidRPr="0073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питьевой воды от источника </w:t>
            </w:r>
            <w:r w:rsidRPr="007334A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73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потребителя;</w:t>
            </w:r>
            <w:r w:rsidR="00A4628E" w:rsidRPr="007334A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4A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 w:rsidRPr="0073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существующих сетей, имеющих </w:t>
            </w:r>
            <w:r w:rsidRPr="007334A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br/>
              <w:t>недостаточную</w:t>
            </w:r>
            <w:r w:rsidRPr="0073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пропускную способность.</w:t>
            </w:r>
          </w:p>
        </w:tc>
      </w:tr>
    </w:tbl>
    <w:p w:rsidR="007B6551" w:rsidRPr="007B6551" w:rsidRDefault="007B6551" w:rsidP="007B65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240" w:rsidRPr="00405240" w:rsidRDefault="00405240" w:rsidP="001329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 «Общая характеристика текущего состояния соответствующей сферы социально-экономического развития </w:t>
      </w:r>
      <w:r w:rsidR="00C0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Истоминского</w:t>
      </w:r>
      <w:r w:rsidRPr="0040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:rsidR="00E45C6C" w:rsidRPr="00E45C6C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C6C">
        <w:rPr>
          <w:color w:val="000000"/>
          <w:sz w:val="28"/>
          <w:szCs w:val="28"/>
        </w:rPr>
        <w:t xml:space="preserve">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водоснабжения качественной питьевой водой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</w:t>
      </w:r>
      <w:r w:rsidR="00C069AE">
        <w:rPr>
          <w:color w:val="000000"/>
          <w:sz w:val="28"/>
          <w:szCs w:val="28"/>
        </w:rPr>
        <w:t>Истоминского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45C6C">
        <w:rPr>
          <w:color w:val="000000"/>
          <w:sz w:val="28"/>
          <w:szCs w:val="28"/>
        </w:rPr>
        <w:t xml:space="preserve"> до 2020 года. </w:t>
      </w:r>
    </w:p>
    <w:p w:rsidR="00E45C6C" w:rsidRPr="00E45C6C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C6C">
        <w:rPr>
          <w:color w:val="000000"/>
          <w:sz w:val="28"/>
          <w:szCs w:val="28"/>
        </w:rPr>
        <w:lastRenderedPageBreak/>
        <w:t xml:space="preserve">В настоящее время деятельность коммунального комплекса </w:t>
      </w:r>
      <w:r w:rsidR="00C069AE">
        <w:rPr>
          <w:color w:val="000000"/>
          <w:sz w:val="28"/>
          <w:szCs w:val="28"/>
        </w:rPr>
        <w:t>Истоминского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45C6C">
        <w:rPr>
          <w:color w:val="000000"/>
          <w:sz w:val="28"/>
          <w:szCs w:val="28"/>
        </w:rPr>
        <w:t xml:space="preserve">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E45C6C" w:rsidRPr="00E45C6C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C6C">
        <w:rPr>
          <w:color w:val="000000"/>
          <w:sz w:val="28"/>
          <w:szCs w:val="28"/>
        </w:rPr>
        <w:t xml:space="preserve">Утечки и неучтенный расход воды в системах водоснабжения составляют более </w:t>
      </w:r>
      <w:r w:rsidR="00A82F3A">
        <w:rPr>
          <w:color w:val="000000"/>
          <w:sz w:val="28"/>
          <w:szCs w:val="28"/>
        </w:rPr>
        <w:t>5</w:t>
      </w:r>
      <w:r w:rsidRPr="00E45C6C">
        <w:rPr>
          <w:color w:val="000000"/>
          <w:sz w:val="28"/>
          <w:szCs w:val="28"/>
        </w:rPr>
        <w:t xml:space="preserve">0 процентов. Одним из следствий такого положения стало обострение проблемы обеспечения населения </w:t>
      </w:r>
      <w:r w:rsidR="00C069AE">
        <w:rPr>
          <w:color w:val="000000"/>
          <w:sz w:val="28"/>
          <w:szCs w:val="28"/>
        </w:rPr>
        <w:t>Истоминского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45C6C">
        <w:rPr>
          <w:color w:val="000000"/>
          <w:sz w:val="28"/>
          <w:szCs w:val="28"/>
        </w:rPr>
        <w:t xml:space="preserve"> питьевой водой нормативного качества и в достаточном количестве.</w:t>
      </w:r>
    </w:p>
    <w:p w:rsidR="00E45C6C" w:rsidRPr="00E45C6C" w:rsidRDefault="00E45C6C" w:rsidP="00E45C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6C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</w:t>
      </w:r>
      <w:r w:rsidR="00C069A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5C6C">
        <w:rPr>
          <w:rFonts w:ascii="Times New Roman" w:hAnsi="Times New Roman" w:cs="Times New Roman"/>
          <w:sz w:val="28"/>
          <w:szCs w:val="28"/>
        </w:rPr>
        <w:t xml:space="preserve">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E45C6C" w:rsidRPr="00E45C6C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C6C">
        <w:rPr>
          <w:color w:val="000000"/>
          <w:sz w:val="28"/>
          <w:szCs w:val="28"/>
        </w:rPr>
        <w:t>Характеристика текущего состояния систем водоснабжения и водоотведения, основные технико-экономические показатели:</w:t>
      </w:r>
    </w:p>
    <w:p w:rsidR="00E45C6C" w:rsidRPr="00E45C6C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C6C">
        <w:rPr>
          <w:color w:val="000000"/>
          <w:sz w:val="28"/>
          <w:szCs w:val="28"/>
        </w:rPr>
        <w:t>Водоснабжение.</w:t>
      </w:r>
    </w:p>
    <w:p w:rsidR="00E45C6C" w:rsidRPr="00E45C6C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C6C">
        <w:rPr>
          <w:color w:val="000000"/>
          <w:sz w:val="28"/>
          <w:szCs w:val="28"/>
        </w:rPr>
        <w:t>Основными проблемными вопросами эксплуатации водопроводного хозяйства являются:</w:t>
      </w:r>
    </w:p>
    <w:p w:rsidR="00E45C6C" w:rsidRPr="00E45C6C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C6C">
        <w:rPr>
          <w:color w:val="000000"/>
          <w:sz w:val="28"/>
          <w:szCs w:val="28"/>
        </w:rPr>
        <w:t>- высокий процент износа водопроводов, насосного и вспомогательного оборудования;</w:t>
      </w:r>
    </w:p>
    <w:p w:rsidR="00E45C6C" w:rsidRPr="00E45C6C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C6C">
        <w:rPr>
          <w:color w:val="000000"/>
          <w:sz w:val="28"/>
          <w:szCs w:val="28"/>
        </w:rPr>
        <w:t>- отсутствие приборов учета поднятой и распределенной питьевой воды;</w:t>
      </w:r>
    </w:p>
    <w:p w:rsidR="00E45C6C" w:rsidRPr="00E45C6C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C6C">
        <w:rPr>
          <w:color w:val="000000"/>
          <w:sz w:val="28"/>
          <w:szCs w:val="28"/>
        </w:rPr>
        <w:t>- отсутствие зон санитарной охраны водозаборных скважин;</w:t>
      </w:r>
    </w:p>
    <w:p w:rsidR="00E45C6C" w:rsidRPr="00E45C6C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C6C">
        <w:rPr>
          <w:color w:val="000000"/>
          <w:sz w:val="28"/>
          <w:szCs w:val="28"/>
        </w:rPr>
        <w:t>- отсутствие системы планово-предупредительной замены участков водопроводных сетей и оборудования.</w:t>
      </w:r>
    </w:p>
    <w:p w:rsidR="00E45C6C" w:rsidRPr="00A76EE4" w:rsidRDefault="00E45C6C" w:rsidP="00E45C6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45C6C">
        <w:rPr>
          <w:color w:val="000000"/>
          <w:sz w:val="28"/>
          <w:szCs w:val="28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</w:t>
      </w:r>
      <w:r w:rsidR="00C069AE">
        <w:rPr>
          <w:color w:val="000000"/>
          <w:sz w:val="28"/>
          <w:szCs w:val="28"/>
        </w:rPr>
        <w:t>Истоминского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45C6C">
        <w:rPr>
          <w:color w:val="000000"/>
          <w:sz w:val="28"/>
          <w:szCs w:val="28"/>
        </w:rPr>
        <w:t xml:space="preserve">. Привлечение инвестиционных и заемных средств на длительный период могло бы позволить организациям коммунального комплекса </w:t>
      </w:r>
      <w:r w:rsidR="00C069AE">
        <w:rPr>
          <w:color w:val="000000"/>
          <w:sz w:val="28"/>
          <w:szCs w:val="28"/>
        </w:rPr>
        <w:t>Истоминского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45C6C">
        <w:rPr>
          <w:color w:val="000000"/>
          <w:sz w:val="28"/>
          <w:szCs w:val="28"/>
        </w:rPr>
        <w:t xml:space="preserve">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E44E89" w:rsidRDefault="00E44E89"/>
    <w:p w:rsidR="0059138D" w:rsidRPr="0013292E" w:rsidRDefault="0059138D" w:rsidP="001329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 «Цели, задачи и показатели (индикаторы), основные ожидаемые  конечные результаты, сроки и этапы реализации муниципальной  программы»</w:t>
      </w:r>
    </w:p>
    <w:p w:rsidR="00A4628E" w:rsidRPr="00A4628E" w:rsidRDefault="00A4628E" w:rsidP="00A4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ставятся следующие цели:</w:t>
      </w:r>
    </w:p>
    <w:p w:rsidR="00A4628E" w:rsidRPr="00A4628E" w:rsidRDefault="00A4628E" w:rsidP="00A4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A4628E" w:rsidRPr="00A4628E" w:rsidRDefault="00A4628E" w:rsidP="00A4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условий, необходимых для привлечения инвестиций в целях развития и модернизации систем водоснабжения;</w:t>
      </w:r>
    </w:p>
    <w:p w:rsidR="00A4628E" w:rsidRPr="00A4628E" w:rsidRDefault="00A4628E" w:rsidP="00A4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услуг водоснабжения для потребителей.</w:t>
      </w:r>
    </w:p>
    <w:p w:rsidR="00A4628E" w:rsidRPr="00A4628E" w:rsidRDefault="00A4628E" w:rsidP="00A4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разработана для решения задач, связанных:</w:t>
      </w:r>
    </w:p>
    <w:p w:rsidR="00A4628E" w:rsidRPr="00A4628E" w:rsidRDefault="00A4628E" w:rsidP="00A4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активизацией процесса развития социальной инфраструктуры района, путем повышения качества оказываемых услуг;</w:t>
      </w:r>
    </w:p>
    <w:p w:rsidR="00A4628E" w:rsidRPr="00A4628E" w:rsidRDefault="00A4628E" w:rsidP="00A4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внедрением современных технологий производства ремонтных работ;</w:t>
      </w:r>
    </w:p>
    <w:p w:rsidR="00A4628E" w:rsidRPr="00A4628E" w:rsidRDefault="00A4628E" w:rsidP="00A4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A4628E" w:rsidRDefault="00A4628E" w:rsidP="00A4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ростом мощности систем водоснабжения и водоотведения, увеличением зон водоснабжения, увеличением числа пользователей, новым строительством</w:t>
      </w:r>
      <w:r w:rsidR="005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11E2" w:rsidRPr="005711E2" w:rsidRDefault="005711E2" w:rsidP="00A4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11E2">
        <w:rPr>
          <w:rFonts w:ascii="Times New Roman" w:hAnsi="Times New Roman" w:cs="Times New Roman"/>
          <w:sz w:val="28"/>
          <w:szCs w:val="28"/>
        </w:rPr>
        <w:t>содержанием и ремонтом объектов жилищно-коммунального хозяйства.</w:t>
      </w:r>
    </w:p>
    <w:p w:rsidR="00A4628E" w:rsidRDefault="00A4628E" w:rsidP="00A462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поставленных задач в условиях развития района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водопроводно-канализационного хозяйства </w:t>
      </w:r>
      <w:r w:rsidR="00C0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Истоминского</w:t>
      </w: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4628E" w:rsidRDefault="00A4628E" w:rsidP="00A462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конечные результаты муниципальной программы:</w:t>
      </w:r>
    </w:p>
    <w:p w:rsidR="00A4628E" w:rsidRPr="00A4628E" w:rsidRDefault="00A4628E" w:rsidP="00A46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износа объектов коммунальной инфраструктуры;</w:t>
      </w:r>
    </w:p>
    <w:p w:rsidR="00A4628E" w:rsidRPr="00A4628E" w:rsidRDefault="00A4628E" w:rsidP="00A46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потерь в сетях водоснабжения до </w:t>
      </w:r>
      <w:r w:rsid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4628E" w:rsidRDefault="00A4628E" w:rsidP="00A4628E">
      <w:pPr>
        <w:spacing w:after="0"/>
        <w:ind w:firstLine="709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бесперебойной подачи </w:t>
      </w:r>
      <w:r w:rsidRPr="00A4628E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качественной</w:t>
      </w: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питьевой воды от источника </w:t>
      </w:r>
      <w:r w:rsidRPr="00A4628E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до</w:t>
      </w:r>
      <w:r w:rsidRPr="00A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потребителя;</w:t>
      </w:r>
      <w:r w:rsidRPr="00A4628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A4628E" w:rsidRDefault="00A4628E" w:rsidP="00A462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8E">
        <w:rPr>
          <w:rFonts w:ascii="Times New Roman" w:eastAsia="Batang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существующих сетей, имеющих </w:t>
      </w:r>
      <w:r w:rsidRPr="00A4628E">
        <w:rPr>
          <w:rFonts w:ascii="Times New Roman" w:eastAsia="Batang" w:hAnsi="Times New Roman" w:cs="Times New Roman"/>
          <w:sz w:val="28"/>
          <w:szCs w:val="28"/>
          <w:lang w:eastAsia="ru-RU"/>
        </w:rPr>
        <w:t>недостаточную</w:t>
      </w: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пропускную способность.</w:t>
      </w:r>
    </w:p>
    <w:p w:rsidR="007334AB" w:rsidRPr="007334AB" w:rsidRDefault="007334AB" w:rsidP="00733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7334AB" w:rsidRPr="007334AB" w:rsidRDefault="007334AB" w:rsidP="00733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реализации Программы окажут значительное позитивное влияние не только на решение проблем в сфере коммунального хозяйства,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районе социальные процессы и в конечном итоге на макроэкономические показатели, что обусловлено мультипликативным эффектом от реа</w:t>
      </w:r>
      <w:r w:rsidR="006A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программных мероприятий</w:t>
      </w: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4AB" w:rsidRPr="007334AB" w:rsidRDefault="007334AB" w:rsidP="00733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закрепление кадров в сельской местности района;</w:t>
      </w:r>
    </w:p>
    <w:p w:rsidR="007334AB" w:rsidRDefault="007334AB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эффективности реализации Программы будет осуществляться на основе следующих индикаторов:</w:t>
      </w:r>
    </w:p>
    <w:p w:rsidR="007334AB" w:rsidRDefault="007334AB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износа объектов коммунальной инфраструктуры;</w:t>
      </w:r>
    </w:p>
    <w:p w:rsidR="007334AB" w:rsidRDefault="007334AB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внебюджетных источников в общем объеме инвестиций в модернизацию коммунальной инфраструктуры;</w:t>
      </w:r>
    </w:p>
    <w:p w:rsidR="007334AB" w:rsidRDefault="007334AB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34AB" w:rsidRDefault="007334AB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средств бюджета.</w:t>
      </w:r>
    </w:p>
    <w:p w:rsidR="00DD6CE9" w:rsidRDefault="00DD6CE9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Информация о составе и значениях показателей (индикаторов) приводится согласно приложению</w:t>
      </w:r>
      <w:r w:rsidR="00B945AE" w:rsidRPr="004330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к настоящей Программе (таблица 1).</w:t>
      </w:r>
    </w:p>
    <w:p w:rsidR="007334AB" w:rsidRDefault="007334AB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 Программы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волит обеспечить к 2020  году: </w:t>
      </w:r>
    </w:p>
    <w:p w:rsidR="00334184" w:rsidRDefault="007334AB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износа объектов коммунальной инфраструктуры до 50 процентов;</w:t>
      </w:r>
    </w:p>
    <w:p w:rsidR="007334AB" w:rsidRDefault="00334184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34AB"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доли средств внебюджетных источников в модернизацию коммунальной инфраструктуры до 65 процентов;</w:t>
      </w:r>
    </w:p>
    <w:p w:rsidR="00334184" w:rsidRDefault="007334AB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и надежности коммунальных услуг;</w:t>
      </w:r>
    </w:p>
    <w:p w:rsidR="007334AB" w:rsidRDefault="007334AB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инфраструктуры;</w:t>
      </w:r>
    </w:p>
    <w:p w:rsidR="007334AB" w:rsidRPr="007334AB" w:rsidRDefault="007334AB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экологической нагрузки на регион, улучшение санитарно-эпидемиологической обстановки.</w:t>
      </w:r>
    </w:p>
    <w:p w:rsidR="00A4628E" w:rsidRPr="00A4628E" w:rsidRDefault="00A4628E" w:rsidP="00733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и сроки реализации программы </w:t>
      </w: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</w:t>
      </w:r>
      <w:r w:rsidR="003C37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с разбивкой по годам:</w:t>
      </w:r>
    </w:p>
    <w:p w:rsidR="00A4628E" w:rsidRPr="00A4628E" w:rsidRDefault="00A4628E" w:rsidP="00A4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>1этап-2014</w:t>
      </w:r>
      <w:r w:rsidR="003C3790">
        <w:rPr>
          <w:rFonts w:ascii="Times New Roman" w:eastAsia="Times New Roman" w:hAnsi="Times New Roman" w:cs="Times New Roman"/>
          <w:sz w:val="28"/>
          <w:szCs w:val="28"/>
          <w:lang w:eastAsia="ru-RU"/>
        </w:rPr>
        <w:t>-2016</w:t>
      </w: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28E" w:rsidRDefault="00A4628E" w:rsidP="003C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этап-201</w:t>
      </w:r>
      <w:r w:rsidR="003C3790">
        <w:rPr>
          <w:rFonts w:ascii="Times New Roman" w:eastAsia="Times New Roman" w:hAnsi="Times New Roman" w:cs="Times New Roman"/>
          <w:sz w:val="28"/>
          <w:szCs w:val="28"/>
          <w:lang w:eastAsia="ru-RU"/>
        </w:rPr>
        <w:t>7-2020</w:t>
      </w:r>
      <w:r w:rsidRPr="00A4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C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28E" w:rsidRDefault="00A4628E" w:rsidP="00A4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2E" w:rsidRDefault="0013292E" w:rsidP="0013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13292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О</w:t>
      </w:r>
      <w:r w:rsidRPr="0013292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бобщенная характеристика основных мероприятий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муниципальной программы</w:t>
      </w:r>
    </w:p>
    <w:p w:rsidR="0013292E" w:rsidRPr="0013292E" w:rsidRDefault="0013292E" w:rsidP="0013292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2E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13292E" w:rsidRDefault="0013292E" w:rsidP="001329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2E">
        <w:rPr>
          <w:rFonts w:ascii="Times New Roman" w:hAnsi="Times New Roman" w:cs="Times New Roman"/>
          <w:sz w:val="28"/>
          <w:szCs w:val="28"/>
        </w:rPr>
        <w:t xml:space="preserve">Мероприятия по капитальному ремонту объектов </w:t>
      </w:r>
      <w:r w:rsidRPr="0013292E">
        <w:rPr>
          <w:rFonts w:ascii="Times New Roman" w:hAnsi="Times New Roman" w:cs="Times New Roman"/>
          <w:color w:val="000000"/>
          <w:sz w:val="28"/>
          <w:szCs w:val="28"/>
        </w:rPr>
        <w:t>водопроводно-канализационного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92E" w:rsidRPr="0013292E" w:rsidRDefault="0013292E" w:rsidP="001329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2E">
        <w:rPr>
          <w:rFonts w:ascii="Times New Roman" w:hAnsi="Times New Roman" w:cs="Times New Roman"/>
          <w:sz w:val="28"/>
          <w:szCs w:val="28"/>
        </w:rPr>
        <w:t xml:space="preserve">Мероприятия по поддержанию объектов </w:t>
      </w:r>
      <w:r w:rsidRPr="0013292E">
        <w:rPr>
          <w:rFonts w:ascii="Times New Roman" w:hAnsi="Times New Roman" w:cs="Times New Roman"/>
          <w:color w:val="000000"/>
          <w:sz w:val="28"/>
          <w:szCs w:val="28"/>
        </w:rPr>
        <w:t xml:space="preserve">водопроводного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3292E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состоянии, соответствующем нормативным требованиям.</w:t>
      </w:r>
    </w:p>
    <w:p w:rsidR="0013292E" w:rsidRPr="0013292E" w:rsidRDefault="0013292E" w:rsidP="001329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2E">
        <w:rPr>
          <w:rFonts w:ascii="Times New Roman" w:hAnsi="Times New Roman" w:cs="Times New Roman"/>
          <w:sz w:val="28"/>
          <w:szCs w:val="28"/>
        </w:rPr>
        <w:t xml:space="preserve">Мероприятия по предоставлению субсидий из районного бюджета бюджетам сельских поселений за счет средств Фонда </w:t>
      </w:r>
      <w:proofErr w:type="spellStart"/>
      <w:r w:rsidRPr="001329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3292E">
        <w:rPr>
          <w:rFonts w:ascii="Times New Roman" w:hAnsi="Times New Roman" w:cs="Times New Roman"/>
          <w:sz w:val="28"/>
          <w:szCs w:val="28"/>
        </w:rPr>
        <w:t xml:space="preserve"> расходов на капитальный ремонт объектов </w:t>
      </w:r>
      <w:r w:rsidRPr="0013292E">
        <w:rPr>
          <w:rFonts w:ascii="Times New Roman" w:hAnsi="Times New Roman" w:cs="Times New Roman"/>
          <w:color w:val="000000"/>
          <w:sz w:val="28"/>
          <w:szCs w:val="28"/>
        </w:rPr>
        <w:t xml:space="preserve">водопроводно-канализационного хозяйства </w:t>
      </w:r>
      <w:proofErr w:type="spellStart"/>
      <w:r w:rsidRPr="0013292E">
        <w:rPr>
          <w:rFonts w:ascii="Times New Roman" w:hAnsi="Times New Roman" w:cs="Times New Roman"/>
          <w:color w:val="000000"/>
          <w:sz w:val="28"/>
          <w:szCs w:val="28"/>
        </w:rPr>
        <w:t>Аксайского</w:t>
      </w:r>
      <w:proofErr w:type="spellEnd"/>
      <w:r w:rsidRPr="0013292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13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BA5" w:rsidRDefault="0013292E" w:rsidP="001329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2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обеспечению жилищно-коммунального хозяйства </w:t>
      </w:r>
      <w:r w:rsidR="00C069AE">
        <w:rPr>
          <w:rFonts w:ascii="Times New Roman" w:hAnsi="Times New Roman" w:cs="Times New Roman"/>
          <w:sz w:val="28"/>
          <w:szCs w:val="28"/>
        </w:rPr>
        <w:t>Истоминского</w:t>
      </w:r>
      <w:r w:rsidRPr="0013292E">
        <w:rPr>
          <w:rFonts w:ascii="Times New Roman" w:hAnsi="Times New Roman" w:cs="Times New Roman"/>
          <w:sz w:val="28"/>
          <w:szCs w:val="28"/>
        </w:rPr>
        <w:t xml:space="preserve"> сельского поселения специальной техникой</w:t>
      </w:r>
      <w:r w:rsidR="00884BA5">
        <w:rPr>
          <w:rFonts w:ascii="Times New Roman" w:hAnsi="Times New Roman" w:cs="Times New Roman"/>
          <w:sz w:val="28"/>
          <w:szCs w:val="28"/>
        </w:rPr>
        <w:t>;</w:t>
      </w:r>
    </w:p>
    <w:p w:rsidR="0013292E" w:rsidRPr="0013292E" w:rsidRDefault="00884BA5" w:rsidP="001329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по содержанию и ремонту объектов жилищно-коммунального хозяйства.</w:t>
      </w:r>
      <w:r w:rsidR="0013292E" w:rsidRPr="001329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92E" w:rsidRPr="0013292E" w:rsidRDefault="0013292E" w:rsidP="0013292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2E">
        <w:rPr>
          <w:rFonts w:ascii="Times New Roman" w:hAnsi="Times New Roman" w:cs="Times New Roman"/>
          <w:sz w:val="28"/>
          <w:szCs w:val="28"/>
        </w:rPr>
        <w:t>Сроки и очередность мероприятий по реализации Программы будут определяться в зависимости от задач, предусмотренных Государственными программами.</w:t>
      </w:r>
    </w:p>
    <w:p w:rsidR="00511B89" w:rsidRDefault="00511B89" w:rsidP="0051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11B89" w:rsidRPr="00511B89" w:rsidRDefault="00511B89" w:rsidP="0051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Раздел 4. Информация по ресурсному обеспечению Программы</w:t>
      </w:r>
    </w:p>
    <w:p w:rsidR="00511B89" w:rsidRPr="00511B89" w:rsidRDefault="00511B89" w:rsidP="00511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1B89" w:rsidRPr="00511B89" w:rsidRDefault="00511B89" w:rsidP="00511B89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Общий об</w:t>
      </w:r>
      <w:r w:rsidR="00974F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ъем финансирования Программы – 2694,2</w:t>
      </w:r>
      <w:r w:rsidR="00A708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тыс. рублей, в том числе по годам:</w:t>
      </w:r>
    </w:p>
    <w:p w:rsidR="00511B89" w:rsidRPr="00511B89" w:rsidRDefault="00511B89" w:rsidP="00511B89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2014 год –</w:t>
      </w:r>
      <w:r w:rsidR="00A7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74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517,2 </w:t>
      </w: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511B89" w:rsidRPr="00511B89" w:rsidRDefault="00511B89" w:rsidP="00511B89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2015 год –</w:t>
      </w:r>
      <w:r w:rsidR="00A7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74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411,7 </w:t>
      </w: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511B89" w:rsidRDefault="00511B89" w:rsidP="00511B89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2016 год –</w:t>
      </w:r>
      <w:r w:rsidR="00A708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974F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411,7 </w:t>
      </w: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C3790" w:rsidRPr="003C3790" w:rsidRDefault="003C3790" w:rsidP="003C3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A70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4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338,4 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r w:rsidR="00974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3C3790" w:rsidRPr="003C3790" w:rsidRDefault="003C3790" w:rsidP="003C3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974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338,4 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r w:rsidR="00974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3C3790" w:rsidRPr="003C3790" w:rsidRDefault="003C3790" w:rsidP="003C3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</w:t>
      </w:r>
      <w:r w:rsidR="00884BA5"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4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338,4 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r w:rsidR="00974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3C3790" w:rsidRPr="003C3790" w:rsidRDefault="003C3790" w:rsidP="003C3790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884B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4BA5"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4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338,4 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r w:rsidR="00974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3790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</w:p>
    <w:p w:rsidR="00511B89" w:rsidRPr="00511B89" w:rsidRDefault="00511B89" w:rsidP="00511B89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источникам финансирования:</w:t>
      </w:r>
    </w:p>
    <w:p w:rsidR="00511B89" w:rsidRPr="00511B89" w:rsidRDefault="00511B89" w:rsidP="00511B89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 поселения</w:t>
      </w:r>
      <w:r w:rsidR="00884B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4330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2694,2</w:t>
      </w: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тыс. рублей</w:t>
      </w:r>
    </w:p>
    <w:p w:rsidR="00511B89" w:rsidRPr="00511B89" w:rsidRDefault="00511B89" w:rsidP="00511B89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 района – могут привлекаться средства районного бюджета;</w:t>
      </w:r>
    </w:p>
    <w:p w:rsidR="00511B89" w:rsidRPr="00511B89" w:rsidRDefault="00511B89" w:rsidP="00511B89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:rsidR="00511B89" w:rsidRPr="00511B89" w:rsidRDefault="00511B89" w:rsidP="00511B89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:rsidR="00511B89" w:rsidRPr="00511B89" w:rsidRDefault="00511B89" w:rsidP="00511B89">
      <w:pPr>
        <w:tabs>
          <w:tab w:val="left" w:pos="779"/>
        </w:tabs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1B89" w:rsidRPr="00511B89" w:rsidRDefault="00511B89" w:rsidP="0051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p w:rsidR="00511B89" w:rsidRPr="00511B89" w:rsidRDefault="00511B89" w:rsidP="0051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1B89" w:rsidRDefault="00511B89" w:rsidP="0051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к настоящей Программе</w:t>
      </w:r>
      <w:r w:rsidR="00351B2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(таблица 2)</w:t>
      </w:r>
      <w:r w:rsidRPr="00511B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511B89" w:rsidRDefault="00511B89" w:rsidP="0051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1B89" w:rsidRPr="00511B89" w:rsidRDefault="00511B89" w:rsidP="0051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Раздел 5. Участие в реализации Программы</w:t>
      </w:r>
    </w:p>
    <w:p w:rsidR="00511B89" w:rsidRPr="00511B89" w:rsidRDefault="00511B89" w:rsidP="00511B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511B89" w:rsidRPr="00884BA5" w:rsidRDefault="00511B89" w:rsidP="0051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884BA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 реализации программы участие принимают</w:t>
      </w:r>
      <w:r w:rsidRPr="0088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BA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Муниципальные учреждения </w:t>
      </w:r>
      <w:r w:rsidR="00C069A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Истоминского</w:t>
      </w:r>
      <w:r w:rsidRPr="00884BA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сельского поселения</w:t>
      </w:r>
      <w:r w:rsidR="00884BA5" w:rsidRPr="00884BA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 управляющие компании, ТСЖ, ЖСК.</w:t>
      </w:r>
    </w:p>
    <w:p w:rsidR="00511B89" w:rsidRPr="00511B89" w:rsidRDefault="00511B89" w:rsidP="00511B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511B89" w:rsidRPr="00511B89" w:rsidRDefault="00511B89" w:rsidP="0051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1B89" w:rsidRDefault="00511B89" w:rsidP="0051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511B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Раздел 6. Методика оценки эффективности Программы</w:t>
      </w:r>
    </w:p>
    <w:p w:rsidR="00511B89" w:rsidRPr="00511B89" w:rsidRDefault="00511B89" w:rsidP="0051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120C89" w:rsidRPr="00120C89" w:rsidRDefault="00511B89" w:rsidP="00120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11B89">
        <w:rPr>
          <w:rFonts w:ascii="Times New Roman" w:hAnsi="Times New Roman" w:cs="Times New Roman"/>
          <w:sz w:val="28"/>
          <w:szCs w:val="28"/>
        </w:rPr>
        <w:t xml:space="preserve">1. </w:t>
      </w:r>
      <w:r w:rsidR="00120C89" w:rsidRPr="00120C8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511B89" w:rsidRPr="00511B89" w:rsidRDefault="00511B89" w:rsidP="00511B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89">
        <w:rPr>
          <w:rFonts w:ascii="Times New Roman" w:hAnsi="Times New Roman" w:cs="Times New Roman"/>
          <w:sz w:val="28"/>
          <w:szCs w:val="28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511B89" w:rsidRDefault="00511B89" w:rsidP="00511B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89">
        <w:rPr>
          <w:rFonts w:ascii="Times New Roman" w:hAnsi="Times New Roman" w:cs="Times New Roman"/>
          <w:sz w:val="28"/>
          <w:szCs w:val="28"/>
        </w:rPr>
        <w:lastRenderedPageBreak/>
        <w:t>2.1. Критерий "Степень достижения планируемых результатов целевых индикаторов реализации мероприятий Программы" базируется на анализе целевых показателей и рассчитывается по формуле</w:t>
      </w:r>
    </w:p>
    <w:p w:rsidR="00511B89" w:rsidRPr="007716EA" w:rsidRDefault="00511B89" w:rsidP="00511B89">
      <w:pPr>
        <w:pStyle w:val="ConsPlusNormal"/>
        <w:widowControl/>
        <w:tabs>
          <w:tab w:val="left" w:pos="42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1B89" w:rsidRPr="00FB4214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                          ЦИФ</w:t>
      </w:r>
    </w:p>
    <w:p w:rsidR="00511B89" w:rsidRPr="00FB4214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4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proofErr w:type="gram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511B89" w:rsidRPr="00FB4214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42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16EA">
        <w:rPr>
          <w:rFonts w:ascii="Times New Roman" w:hAnsi="Times New Roman" w:cs="Times New Roman"/>
          <w:sz w:val="24"/>
          <w:szCs w:val="24"/>
        </w:rPr>
        <w:t>КЦИ</w:t>
      </w:r>
      <w:r w:rsidRPr="00FB4214">
        <w:rPr>
          <w:rFonts w:ascii="Times New Roman" w:hAnsi="Times New Roman" w:cs="Times New Roman"/>
          <w:sz w:val="24"/>
          <w:szCs w:val="24"/>
        </w:rPr>
        <w:t xml:space="preserve">  = ------,</w:t>
      </w:r>
    </w:p>
    <w:p w:rsidR="00511B89" w:rsidRPr="00FB4214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42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B4214">
        <w:rPr>
          <w:rFonts w:ascii="Times New Roman" w:hAnsi="Times New Roman" w:cs="Times New Roman"/>
          <w:sz w:val="24"/>
          <w:szCs w:val="24"/>
        </w:rPr>
        <w:t xml:space="preserve">    </w:t>
      </w:r>
      <w:r w:rsidRPr="007716EA">
        <w:rPr>
          <w:rFonts w:ascii="Times New Roman" w:hAnsi="Times New Roman" w:cs="Times New Roman"/>
          <w:sz w:val="24"/>
          <w:szCs w:val="24"/>
        </w:rPr>
        <w:t>ЦИП</w:t>
      </w:r>
    </w:p>
    <w:p w:rsidR="00511B89" w:rsidRPr="00FB4214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4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proofErr w:type="gram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511B89" w:rsidRPr="00FB4214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4214">
        <w:rPr>
          <w:rFonts w:ascii="Times New Roman" w:hAnsi="Times New Roman" w:cs="Times New Roman"/>
          <w:sz w:val="24"/>
          <w:szCs w:val="24"/>
        </w:rPr>
        <w:t xml:space="preserve">    </w:t>
      </w:r>
      <w:r w:rsidRPr="007716EA">
        <w:rPr>
          <w:rFonts w:ascii="Times New Roman" w:hAnsi="Times New Roman" w:cs="Times New Roman"/>
          <w:sz w:val="24"/>
          <w:szCs w:val="24"/>
        </w:rPr>
        <w:t>где КЦИ  - степень достижения i-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716EA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Программы;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 i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716EA">
        <w:rPr>
          <w:rFonts w:ascii="Times New Roman" w:hAnsi="Times New Roman" w:cs="Times New Roman"/>
          <w:sz w:val="24"/>
          <w:szCs w:val="24"/>
        </w:rPr>
        <w:t>ЦИФ  (</w:t>
      </w:r>
      <w:proofErr w:type="gramEnd"/>
      <w:r w:rsidRPr="007716EA">
        <w:rPr>
          <w:rFonts w:ascii="Times New Roman" w:hAnsi="Times New Roman" w:cs="Times New Roman"/>
          <w:sz w:val="24"/>
          <w:szCs w:val="24"/>
        </w:rPr>
        <w:t>ЦИП ) - фактическое (плановое) значение i-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716EA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i            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16EA">
        <w:rPr>
          <w:rFonts w:ascii="Times New Roman" w:hAnsi="Times New Roman" w:cs="Times New Roman"/>
          <w:sz w:val="24"/>
          <w:szCs w:val="24"/>
        </w:rPr>
        <w:t>.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Значение показателя КЦИ  должно быть больше либо равно 1.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                               i</w:t>
      </w:r>
    </w:p>
    <w:p w:rsidR="00511B89" w:rsidRPr="00511B89" w:rsidRDefault="00511B89" w:rsidP="00511B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89">
        <w:rPr>
          <w:rFonts w:ascii="Times New Roman" w:hAnsi="Times New Roman" w:cs="Times New Roman"/>
          <w:sz w:val="28"/>
          <w:szCs w:val="28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511B89" w:rsidRPr="007716EA" w:rsidRDefault="00511B89" w:rsidP="00511B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B89" w:rsidRPr="00511B89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                         БЗФ</w:t>
      </w:r>
    </w:p>
    <w:p w:rsidR="00511B89" w:rsidRPr="00511B89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1B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716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              КБЗ</w:t>
      </w:r>
      <w:proofErr w:type="spell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16EA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                         БЗП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где КБЗ  - степень соответствия бюджетных затрат i-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716EA">
        <w:rPr>
          <w:rFonts w:ascii="Times New Roman" w:hAnsi="Times New Roman" w:cs="Times New Roman"/>
          <w:sz w:val="24"/>
          <w:szCs w:val="24"/>
        </w:rPr>
        <w:t xml:space="preserve"> мероприятия Программы;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i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716EA">
        <w:rPr>
          <w:rFonts w:ascii="Times New Roman" w:hAnsi="Times New Roman" w:cs="Times New Roman"/>
          <w:sz w:val="24"/>
          <w:szCs w:val="24"/>
        </w:rPr>
        <w:t>БЗФ  (</w:t>
      </w:r>
      <w:proofErr w:type="gramEnd"/>
      <w:r w:rsidRPr="007716EA">
        <w:rPr>
          <w:rFonts w:ascii="Times New Roman" w:hAnsi="Times New Roman" w:cs="Times New Roman"/>
          <w:sz w:val="24"/>
          <w:szCs w:val="24"/>
        </w:rPr>
        <w:t>БЗП ) - фактическое (плановое, прогнозное) значение бюджетных затрат i-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716EA">
        <w:rPr>
          <w:rFonts w:ascii="Times New Roman" w:hAnsi="Times New Roman" w:cs="Times New Roman"/>
          <w:sz w:val="24"/>
          <w:szCs w:val="24"/>
        </w:rPr>
        <w:t xml:space="preserve"> мероприятия Программы. 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i          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Значение показателя КБЗ  должно быть меньше либо равно 1.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11B89" w:rsidRPr="00511B89" w:rsidRDefault="00511B89" w:rsidP="00511B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89">
        <w:rPr>
          <w:rFonts w:ascii="Times New Roman" w:hAnsi="Times New Roman" w:cs="Times New Roman"/>
          <w:sz w:val="28"/>
          <w:szCs w:val="28"/>
        </w:rPr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511B89" w:rsidRPr="007716EA" w:rsidRDefault="00511B89" w:rsidP="00511B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                 БРП</w:t>
      </w:r>
      <w:r w:rsidRPr="007716E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7716EA">
        <w:rPr>
          <w:rFonts w:ascii="Times New Roman" w:hAnsi="Times New Roman" w:cs="Times New Roman"/>
          <w:sz w:val="24"/>
          <w:szCs w:val="24"/>
        </w:rPr>
        <w:t>БРФ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7716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spellStart"/>
      <w:proofErr w:type="gram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7716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7716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7716EA">
        <w:rPr>
          <w:rFonts w:ascii="Times New Roman" w:hAnsi="Times New Roman" w:cs="Times New Roman"/>
          <w:sz w:val="24"/>
          <w:szCs w:val="24"/>
        </w:rPr>
        <w:t>ЭП</w:t>
      </w:r>
      <w:r w:rsidRPr="007716EA">
        <w:rPr>
          <w:rFonts w:ascii="Times New Roman" w:hAnsi="Times New Roman" w:cs="Times New Roman"/>
          <w:sz w:val="24"/>
          <w:szCs w:val="24"/>
          <w:lang w:val="en-US"/>
        </w:rPr>
        <w:t xml:space="preserve">  = ------; </w:t>
      </w:r>
      <w:r w:rsidRPr="007716EA">
        <w:rPr>
          <w:rFonts w:ascii="Times New Roman" w:hAnsi="Times New Roman" w:cs="Times New Roman"/>
          <w:sz w:val="24"/>
          <w:szCs w:val="24"/>
        </w:rPr>
        <w:t>ЭФ</w:t>
      </w:r>
      <w:r w:rsidRPr="007716EA">
        <w:rPr>
          <w:rFonts w:ascii="Times New Roman" w:hAnsi="Times New Roman" w:cs="Times New Roman"/>
          <w:sz w:val="24"/>
          <w:szCs w:val="24"/>
          <w:lang w:val="en-US"/>
        </w:rPr>
        <w:t xml:space="preserve">  = ------,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spellStart"/>
      <w:proofErr w:type="gram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7716EA">
        <w:rPr>
          <w:rFonts w:ascii="Times New Roman" w:hAnsi="Times New Roman" w:cs="Times New Roman"/>
          <w:sz w:val="24"/>
          <w:szCs w:val="24"/>
        </w:rPr>
        <w:t xml:space="preserve">    ЦИП       </w:t>
      </w:r>
      <w:proofErr w:type="spell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16EA">
        <w:rPr>
          <w:rFonts w:ascii="Times New Roman" w:hAnsi="Times New Roman" w:cs="Times New Roman"/>
          <w:sz w:val="24"/>
          <w:szCs w:val="24"/>
        </w:rPr>
        <w:t xml:space="preserve">    ЦИФ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proofErr w:type="gram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7716E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7716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где </w:t>
      </w:r>
      <w:proofErr w:type="gramStart"/>
      <w:r w:rsidRPr="007716EA">
        <w:rPr>
          <w:rFonts w:ascii="Times New Roman" w:hAnsi="Times New Roman" w:cs="Times New Roman"/>
          <w:sz w:val="24"/>
          <w:szCs w:val="24"/>
        </w:rPr>
        <w:t>ЭП  (</w:t>
      </w:r>
      <w:proofErr w:type="gramEnd"/>
      <w:r w:rsidRPr="007716EA">
        <w:rPr>
          <w:rFonts w:ascii="Times New Roman" w:hAnsi="Times New Roman" w:cs="Times New Roman"/>
          <w:sz w:val="24"/>
          <w:szCs w:val="24"/>
        </w:rPr>
        <w:t>ЭФ ) - плановая   (фактическая)   отдача   бюджетных  средств по i-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716EA">
        <w:rPr>
          <w:rFonts w:ascii="Times New Roman" w:hAnsi="Times New Roman" w:cs="Times New Roman"/>
          <w:sz w:val="24"/>
          <w:szCs w:val="24"/>
        </w:rPr>
        <w:t xml:space="preserve"> мероприятию Программы;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      i        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716EA">
        <w:rPr>
          <w:rFonts w:ascii="Times New Roman" w:hAnsi="Times New Roman" w:cs="Times New Roman"/>
          <w:sz w:val="24"/>
          <w:szCs w:val="24"/>
        </w:rPr>
        <w:t>БРП  (</w:t>
      </w:r>
      <w:proofErr w:type="gramEnd"/>
      <w:r w:rsidRPr="007716EA">
        <w:rPr>
          <w:rFonts w:ascii="Times New Roman" w:hAnsi="Times New Roman" w:cs="Times New Roman"/>
          <w:sz w:val="24"/>
          <w:szCs w:val="24"/>
        </w:rPr>
        <w:t xml:space="preserve">БРФ ) - плановый   (фактический)   расход    бюджетных   средств на i-е мероприятие Программы; 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lastRenderedPageBreak/>
        <w:t xml:space="preserve">           i           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11B89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C89" w:rsidRPr="007716EA" w:rsidRDefault="00120C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716EA">
        <w:rPr>
          <w:rFonts w:ascii="Times New Roman" w:hAnsi="Times New Roman" w:cs="Times New Roman"/>
          <w:sz w:val="24"/>
          <w:szCs w:val="24"/>
        </w:rPr>
        <w:t>ЦИП  (</w:t>
      </w:r>
      <w:proofErr w:type="gramEnd"/>
      <w:r w:rsidRPr="007716EA">
        <w:rPr>
          <w:rFonts w:ascii="Times New Roman" w:hAnsi="Times New Roman" w:cs="Times New Roman"/>
          <w:sz w:val="24"/>
          <w:szCs w:val="24"/>
        </w:rPr>
        <w:t>ЦИФ ) - плановое   (фактическое)  значение  целевого  индикатора по i-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716EA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      i               </w:t>
      </w:r>
      <w:proofErr w:type="spellStart"/>
      <w:r w:rsidRPr="007716E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11B89" w:rsidRPr="007716EA" w:rsidRDefault="00511B89" w:rsidP="00511B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6EA">
        <w:rPr>
          <w:rFonts w:ascii="Times New Roman" w:hAnsi="Times New Roman" w:cs="Times New Roman"/>
          <w:sz w:val="24"/>
          <w:szCs w:val="24"/>
        </w:rPr>
        <w:t xml:space="preserve">    Значение показателя </w:t>
      </w:r>
      <w:proofErr w:type="gramStart"/>
      <w:r w:rsidRPr="007716EA">
        <w:rPr>
          <w:rFonts w:ascii="Times New Roman" w:hAnsi="Times New Roman" w:cs="Times New Roman"/>
          <w:sz w:val="24"/>
          <w:szCs w:val="24"/>
        </w:rPr>
        <w:t>ЭФ  не</w:t>
      </w:r>
      <w:proofErr w:type="gramEnd"/>
      <w:r w:rsidRPr="007716EA">
        <w:rPr>
          <w:rFonts w:ascii="Times New Roman" w:hAnsi="Times New Roman" w:cs="Times New Roman"/>
          <w:sz w:val="24"/>
          <w:szCs w:val="24"/>
        </w:rPr>
        <w:t xml:space="preserve"> должно превышать значения показателя ЭП .</w:t>
      </w:r>
    </w:p>
    <w:p w:rsidR="0013292E" w:rsidRDefault="0013292E" w:rsidP="00132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952F3E" w:rsidRDefault="00952F3E" w:rsidP="00132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952F3E" w:rsidRPr="0013292E" w:rsidRDefault="00952F3E" w:rsidP="00132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952F3E" w:rsidRPr="00952F3E" w:rsidRDefault="00952F3E" w:rsidP="00952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Раздел 7. Порядок взаимодействия ответственного исполнителя, соисполнителя, участников Программы</w:t>
      </w:r>
    </w:p>
    <w:p w:rsidR="00952F3E" w:rsidRPr="00952F3E" w:rsidRDefault="00952F3E" w:rsidP="00952F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Ответственным исполнителем Программы является</w:t>
      </w:r>
      <w:r w:rsidRPr="009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A25EDF">
        <w:rPr>
          <w:rFonts w:ascii="Times New Roman" w:eastAsia="Calibri" w:hAnsi="Times New Roman" w:cs="Times New Roman"/>
          <w:sz w:val="28"/>
          <w:szCs w:val="28"/>
        </w:rPr>
        <w:t xml:space="preserve"> ЖКХ</w:t>
      </w:r>
      <w:r w:rsidRPr="00952F3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C069AE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952F3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50A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(далее – ответственный исполнитель), который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Ответственный исполнитель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: </w:t>
      </w:r>
    </w:p>
    <w:p w:rsidR="00952F3E" w:rsidRPr="00952F3E" w:rsidRDefault="00952F3E" w:rsidP="00952F3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1" w:name="sub_10473"/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организует реализацию Программы, вносит предложения  в Программу и несет ответственность за достижение целевых показателей (индикаторов) Программы, целевых показателей (индикаторов) подпрограмм Программы, а также конечных результатов ее реализации;</w:t>
      </w:r>
    </w:p>
    <w:p w:rsidR="00952F3E" w:rsidRPr="00952F3E" w:rsidRDefault="00952F3E" w:rsidP="00952F3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представляет по запросу Главы </w:t>
      </w:r>
      <w:r w:rsidR="00150A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администрации </w:t>
      </w:r>
      <w:r w:rsidR="00C069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Истоминского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  сведения 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>(с учетом информации, представленной соисполнителями и участниками Программы), о реализации Программы;</w:t>
      </w: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формирует план реализации Программы на очередной финансовый год (с учетом информации, представленной соисполнителями и участниками Программы);</w:t>
      </w: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осуществляет согласование технических требований на товары, работы, услуги закупаемые в рамках реализации Программы;</w:t>
      </w: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участвует в деятельности отраслевых рабочих групп участников Программы по формированию технических заданий на проектирование, создание, развитие и сопровождение информационных систем, создаваемых в рамках реализации мероприятий Программы;</w:t>
      </w:r>
    </w:p>
    <w:bookmarkEnd w:id="1"/>
    <w:p w:rsidR="00952F3E" w:rsidRPr="00952F3E" w:rsidRDefault="00952F3E" w:rsidP="00952F3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Программы) и вносит их на рассмотрение Главы Администрации </w:t>
      </w:r>
      <w:r w:rsidR="00C069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Истоминского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поселения;</w:t>
      </w:r>
    </w:p>
    <w:p w:rsidR="00952F3E" w:rsidRPr="00952F3E" w:rsidRDefault="00952F3E" w:rsidP="00952F3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2" w:name="sub_10478"/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подготавливает отчет о реализации Программы по итогам года, согласовывает и вносит на рассмотрение   проект </w:t>
      </w:r>
      <w:proofErr w:type="gramStart"/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постановления  Администрации</w:t>
      </w:r>
      <w:proofErr w:type="gramEnd"/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C069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Истоминского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об утверждении отчета в соответствии с Регламентом  Администрации </w:t>
      </w:r>
      <w:r w:rsidR="00C069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Истоминского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поселения.;</w:t>
      </w:r>
    </w:p>
    <w:p w:rsidR="00952F3E" w:rsidRPr="00952F3E" w:rsidRDefault="00952F3E" w:rsidP="00952F3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ходе подготовки отчета о реализации Программы по итогам года проводит совещания-пропуски с участниками Программы в целях оценки эффективности 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реализованных в течение года и планируемых на очередной финансовый год мероприятий и подготовки предложений по дальнейшей реализации Программы, в том числе предложений по оптимизации расходов   бюджета на реализацию Программы (перераспределения расходов между мероприятиями и (или) участниками Программы, сокращения неэффективных расходов).</w:t>
      </w:r>
    </w:p>
    <w:bookmarkEnd w:id="2"/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  <w:r w:rsidR="00150A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Сектора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Администрации </w:t>
      </w:r>
      <w:r w:rsidR="00C069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Истоминского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поселения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являющиеся участниками Программы:</w:t>
      </w: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формируют предложения в план реализации Программы на очередной финансовый год;</w:t>
      </w:r>
    </w:p>
    <w:p w:rsidR="00952F3E" w:rsidRPr="00952F3E" w:rsidRDefault="00952F3E" w:rsidP="00952F3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3" w:name="sub_10491"/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осуществляет реализацию 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  <w:lang w:eastAsia="ru-RU"/>
        </w:rPr>
        <w:t>мероприятий</w:t>
      </w: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подпрограмм Программы в рамках своей компетенции;</w:t>
      </w:r>
    </w:p>
    <w:p w:rsidR="00952F3E" w:rsidRPr="00952F3E" w:rsidRDefault="00952F3E" w:rsidP="00952F3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вносят предложения ответственному исполнителю об изменениях в Программу;</w:t>
      </w:r>
    </w:p>
    <w:bookmarkEnd w:id="3"/>
    <w:p w:rsidR="00952F3E" w:rsidRPr="00952F3E" w:rsidRDefault="00952F3E" w:rsidP="00952F3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разрабатывают, согласовывают и утверждают технические задания и проектно-сметную документацию на реализацию отдельных мероприятий;</w:t>
      </w:r>
    </w:p>
    <w:p w:rsidR="00952F3E" w:rsidRPr="00952F3E" w:rsidRDefault="00952F3E" w:rsidP="00952F3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 подготовке технических заданий на проектирование, создание, развитие и сопровождение информационных систем, создаваемых в рамках реализации мероприятий Программы, формируют отраслевые рабочие группы с обязательным включением представителей ответственного исполнителя;</w:t>
      </w: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обеспечивают подготовку и проведение процедур размещения заказов, заключение муниципальных контрактов (гражданско-правовых договоров);</w:t>
      </w:r>
    </w:p>
    <w:p w:rsidR="00952F3E" w:rsidRPr="00952F3E" w:rsidRDefault="00952F3E" w:rsidP="00952F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4" w:name="sub_10494"/>
      <w:bookmarkStart w:id="5" w:name="sub_10493"/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представляет ответственному исполнителю информацию, необходимую для подготовки ответов на запросы;</w:t>
      </w:r>
    </w:p>
    <w:p w:rsidR="00952F3E" w:rsidRPr="00952F3E" w:rsidRDefault="00952F3E" w:rsidP="00952F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представляет ответственному исполнителю информацию, необходимую для подготовки отчетов об исполнении плана реализации Программы и отчета о реализации Программы по итогам года;</w:t>
      </w:r>
    </w:p>
    <w:p w:rsidR="00952F3E" w:rsidRPr="00952F3E" w:rsidRDefault="00952F3E" w:rsidP="00952F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6" w:name="sub_10495"/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представляет 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подпрограмм Программы.</w:t>
      </w:r>
    </w:p>
    <w:bookmarkEnd w:id="4"/>
    <w:bookmarkEnd w:id="5"/>
    <w:bookmarkEnd w:id="6"/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Участники Программы и соисполнитель Программы несут ответственность за реализацию комплекса закрепленных за ними мероприятий Программы, обеспечивают эффективное использование средств, выделяемых на их реализацию.</w:t>
      </w:r>
    </w:p>
    <w:p w:rsidR="00952F3E" w:rsidRPr="00952F3E" w:rsidRDefault="00952F3E" w:rsidP="00952F3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качественного исполнения мероприятий Программы и обеспечения эффективного использования бюджетных ассигнований, участники Программы:</w:t>
      </w:r>
    </w:p>
    <w:p w:rsidR="00952F3E" w:rsidRPr="00952F3E" w:rsidRDefault="00952F3E" w:rsidP="00952F3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Программы участниками Программы, подведомственными им учреждениями,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52F3E" w:rsidRPr="00952F3E" w:rsidRDefault="00952F3E" w:rsidP="00952F3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не позднее семи рабочих дней после заключения муниципального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муниципальном контракте (гражданско-правовом договоре) с указанием его реквизитов, стоимости и информации о поставщике (исполнителе);</w:t>
      </w:r>
    </w:p>
    <w:p w:rsidR="00952F3E" w:rsidRPr="00952F3E" w:rsidRDefault="00952F3E" w:rsidP="00952F3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позднее семи рабочих дней с даты исполнения обязательств по заключенным муниципальным контрактам (гражданско-правовым договорам) в рамках реализации мероприятий подпрограмм Программы направляет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подпрограмм Программы;</w:t>
      </w: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направляют ответственному исполнителю предложения о внесении изменений в Программу для их обобщения и внесения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 Предложения о внесении изменений в Программу могут содержать предложении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направляет ответственному исполнителю информацию, необходимую для подготовки отчетов об исполнении плана реализации Программы,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ежегодно, до 15 февраля года, следующего за отчетным, направляет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952F3E" w:rsidRPr="00952F3E" w:rsidRDefault="00952F3E" w:rsidP="0095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2F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p w:rsidR="0013292E" w:rsidRPr="00A4628E" w:rsidRDefault="0013292E" w:rsidP="00A4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8E" w:rsidRPr="00A4628E" w:rsidRDefault="00A4628E" w:rsidP="00A462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A54" w:rsidRPr="00EA1A54" w:rsidRDefault="00EA1A54" w:rsidP="00EA1A5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Раздел 8. Подпрограмма </w:t>
      </w:r>
    </w:p>
    <w:p w:rsidR="00EA1A54" w:rsidRPr="00EA1A54" w:rsidRDefault="00EA1A54" w:rsidP="00EA1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жилищно</w:t>
      </w:r>
      <w:r w:rsidR="00884B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-коммунального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хозяйства в </w:t>
      </w:r>
      <w:proofErr w:type="spellStart"/>
      <w:r w:rsidR="00150A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Истоминском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ПАСПОРТ ПОДПРОГРАММЫ</w:t>
      </w:r>
    </w:p>
    <w:p w:rsidR="00EA1A54" w:rsidRPr="00EA1A54" w:rsidRDefault="00EA1A54" w:rsidP="00EA1A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жилищн</w:t>
      </w:r>
      <w:r w:rsidR="00884B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о-коммунального</w:t>
      </w:r>
      <w:r w:rsidR="00CE59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хозяйства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EA1A54" w:rsidRPr="00EA1A54" w:rsidRDefault="009E09CB" w:rsidP="00EA1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EA1A54"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29"/>
        <w:gridCol w:w="411"/>
        <w:gridCol w:w="6429"/>
      </w:tblGrid>
      <w:tr w:rsidR="00EA1A54" w:rsidRPr="00EA1A54" w:rsidTr="00EA1A5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CE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«Развитие жилищно</w:t>
            </w:r>
            <w:r w:rsidR="00884B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-коммунального</w:t>
            </w: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хозяйства» (далее – подпрограмма)</w:t>
            </w:r>
          </w:p>
        </w:tc>
      </w:tr>
      <w:tr w:rsidR="00EA1A54" w:rsidRPr="00EA1A54" w:rsidTr="00EA1A5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2461F4" w:rsidP="0015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9E09CB" w:rsidRPr="009E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9AE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r w:rsidR="009E09CB" w:rsidRPr="009E0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A1A54" w:rsidRPr="00EA1A54" w:rsidTr="00EA1A5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9E09CB" w:rsidP="00E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C069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Истоминского</w:t>
            </w: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</w:t>
            </w:r>
            <w:r w:rsidR="00884B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</w:t>
            </w:r>
          </w:p>
        </w:tc>
      </w:tr>
      <w:tr w:rsidR="00EA1A54" w:rsidRPr="00EA1A54" w:rsidTr="00EA1A5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A1A54" w:rsidRPr="00EA1A54" w:rsidTr="00EA1A5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t>улучшение технического состояния многоквартирных домов;</w:t>
            </w:r>
          </w:p>
          <w:p w:rsidR="00EA1A54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t>создание благоприятных условий для управления многоквартирными домами</w:t>
            </w:r>
            <w:r w:rsidR="00884BA5"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t>;</w:t>
            </w:r>
          </w:p>
          <w:p w:rsidR="00884BA5" w:rsidRPr="009E09CB" w:rsidRDefault="00884BA5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t>содержание объектов жилищно-коммунального хозяйства</w:t>
            </w:r>
          </w:p>
        </w:tc>
      </w:tr>
      <w:tr w:rsidR="00EA1A54" w:rsidRPr="00EA1A54" w:rsidTr="00EA1A5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механизма </w:t>
            </w:r>
            <w:proofErr w:type="spellStart"/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</w:t>
            </w:r>
            <w:r w:rsidR="009E09CB"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поддержки в рамках Областного закона от 11.06.2013 № 1101-ЗС</w:t>
            </w: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«О капитальном ремонте общего имущества в многоквартирных домах на территории Ленинском сельском поселении»;</w:t>
            </w:r>
          </w:p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конкурентной среды в сфере управления многоквартирными домами;</w:t>
            </w:r>
          </w:p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EA1A54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информирование населения о правах и обязанностях в жилищно-коммунальной сфере</w:t>
            </w:r>
            <w:r w:rsidR="00271A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6E26BD" w:rsidRPr="00CE5952" w:rsidRDefault="00F5580B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 и ремонт объектов жилищно-коммунального хо</w:t>
            </w:r>
            <w:r w:rsidR="00514D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яйства</w:t>
            </w:r>
          </w:p>
        </w:tc>
      </w:tr>
      <w:tr w:rsidR="00EA1A54" w:rsidRPr="00EA1A54" w:rsidTr="00EA1A5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0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многоквартирных домов, в которых планируется провести капитальный ремонт;</w:t>
            </w:r>
          </w:p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управляющих организаций и товариществ собственников жилья;</w:t>
            </w:r>
          </w:p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лиц, обученных основам управления многоквартирными домами</w:t>
            </w:r>
          </w:p>
        </w:tc>
      </w:tr>
      <w:tr w:rsidR="00EA1A54" w:rsidRPr="00EA1A54" w:rsidTr="00EA1A5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Этапы и сроки </w:t>
            </w: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 – 20</w:t>
            </w:r>
            <w:r w:rsidR="00F55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9E09CB"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годы. Этапы реализации подпрограммы не выделяются</w:t>
            </w:r>
          </w:p>
          <w:p w:rsidR="00EA1A54" w:rsidRPr="009E09CB" w:rsidRDefault="00EA1A54" w:rsidP="00EA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A1A54" w:rsidRPr="00EA1A54" w:rsidTr="00EA1A5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Ресурсное обеспечение </w:t>
            </w: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09CB" w:rsidRPr="009E09CB" w:rsidRDefault="009E09CB" w:rsidP="009E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в 2014 – 20</w:t>
            </w:r>
            <w:r w:rsidR="00F55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годах – </w:t>
            </w:r>
            <w:r w:rsidR="00974F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2694,2</w:t>
            </w:r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01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 - средства местного </w:t>
            </w:r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бюджета, в том числе по годам:</w:t>
            </w:r>
          </w:p>
          <w:p w:rsidR="009E09CB" w:rsidRPr="009E09CB" w:rsidRDefault="009E09CB" w:rsidP="009E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 – </w:t>
            </w:r>
            <w:r w:rsidR="00330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517,2</w:t>
            </w:r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09CB" w:rsidRPr="009E09CB" w:rsidRDefault="009E09CB" w:rsidP="009E0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– </w:t>
            </w:r>
            <w:r w:rsidR="00330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411,7</w:t>
            </w:r>
            <w:r w:rsidR="00F55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E0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1A54" w:rsidRDefault="003C3790" w:rsidP="009E0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– </w:t>
            </w:r>
            <w:r w:rsidR="00330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411,7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3790" w:rsidRPr="004D1E27" w:rsidRDefault="003C3790" w:rsidP="003C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30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338,4</w:t>
            </w:r>
            <w:r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3790" w:rsidRPr="004D1E27" w:rsidRDefault="003C3790" w:rsidP="003C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30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338,</w:t>
            </w:r>
            <w:proofErr w:type="gramStart"/>
            <w:r w:rsidR="00330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30714"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3790" w:rsidRDefault="003C3790" w:rsidP="003C3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="00330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338,4</w:t>
            </w:r>
            <w:r w:rsidR="00330714"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3790" w:rsidRPr="009E09CB" w:rsidRDefault="003C3790" w:rsidP="00A4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="00330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338,4</w:t>
            </w:r>
            <w:r w:rsidR="00330714" w:rsidRPr="004D1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1A54" w:rsidRPr="00EA1A54" w:rsidTr="00EA1A54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EA1A54" w:rsidRPr="009E09CB" w:rsidRDefault="00EA1A54" w:rsidP="00EA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A1A54" w:rsidRPr="00EA1A54" w:rsidRDefault="001B0B49" w:rsidP="00EA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8.1</w:t>
      </w:r>
      <w:r w:rsidR="00EA1A54"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Характеристика сферы реализации подпрограммы 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жилищным законодательством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EA1A54" w:rsidRPr="00EA1A54" w:rsidRDefault="009E09CB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Многоквартирный ж</w:t>
      </w:r>
      <w:r w:rsidR="00EA1A54"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илищного фонд </w:t>
      </w:r>
      <w:r w:rsidR="00C069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</w:t>
      </w:r>
      <w:r w:rsid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</w:t>
      </w:r>
      <w:r w:rsid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 составляют</w:t>
      </w:r>
      <w:r w:rsidR="00EA1A54"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дома, построенные во второй половине прошлого века, имеющие значительный процент физического износа и требующие незамедлительного капитального ремонта.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ускорения процесса выбора способа управления в многоквартирных домах, улучшения технического состояния жилья</w:t>
      </w:r>
      <w:r w:rsidR="00C314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счет средств областного бюджета предоставлялась государственная поддержка на капитальный ремонт многоквартирных домов, собственники помещений в которых выбрали способ управления.</w:t>
      </w:r>
    </w:p>
    <w:p w:rsidR="00EA1A54" w:rsidRPr="00EA1A54" w:rsidRDefault="00EA1A54" w:rsidP="00E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Выполненных мероприятий по капитальному ремонту инженерных систем, крыш, фасадов, подвальных помещений, подъездов, несущих конструкций, укреплению оснований фундаментов недостаточно для доведения технического состояния жилищного фонда на территории </w:t>
      </w:r>
      <w:r w:rsidR="00C069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 нормативного уровня.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Ростовской области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формируется региональная система капитального ремонта многоквартирных домов. Принят Областной закон от 11.06.2013 № 1101-ЗС «О капитальном ремонте общего имущества в многоквартирных домах на территории 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Ростовской области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». 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Постановлениями Правительства 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Ростовской области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 минимальный размер взноса на капитальный ремонт общего имущества в многоквартирном доме, а также определены вопросы создания и деятельности регионального оператора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Ростовского областного фонда содействия капитальному ремонту.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Финансирование капитального ремонта будет осуществляться за счет ежемесячных взносов собственников помещений в многоквартирных домах, за исключением домов, признанных аварийными и подлежащими сносу.</w:t>
      </w:r>
    </w:p>
    <w:p w:rsidR="00EA1A54" w:rsidRPr="00EA1A54" w:rsidRDefault="00EA1A54" w:rsidP="00EA1A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поддержки с долевым участием собственников помещений в многоквартирном доме.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связи с высокой стоимостью капитального ремонта многоквартирных домов необходимо продолжить предоставление мер 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поддержки для его проведения в соответствии с указанным Областным законом.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на территории </w:t>
      </w:r>
      <w:r w:rsidR="00C069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должны быть приняты меры по стимулированию реформы управления многоквартирными домами.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Наиболее значимыми препятствиями для эффективного управления многоквартирными домами являются: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неудовлетворительное техническое состояние многоквартирных домов в связи с длительным невыполнением необходимых ремонтов;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изношенность дорогостоящего оборудования, установленного в многоквартирных домах;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отсутствие у специалистов, работающих в сфере управления жилищным фондом, необходимой подготовки по вопросам управления многоквартирными домами, а также недостаточная информационно-методическая работа с населением;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недостаточный уровень самоорганизации собственников жилых помещений для совместного решения важных вопросов по управлению многоквартирным домом, техническому содержанию и текущему ремонту общего имущества дома;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отсутствие прозрачных отношений между собственниками жилых помещений и управляющими организациями.</w:t>
      </w:r>
    </w:p>
    <w:p w:rsidR="00EA1A54" w:rsidRPr="00EA1A54" w:rsidRDefault="00EA1A54" w:rsidP="00E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Процесс реформирования жилищного хозяйства продолжается в условиях динамично развивающегося законодательства. Для повышения качества жилищных услуг по-прежнему актуальным являются улучшение технического состояния жилья и стабилизация рынка управления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многоквартирными домами.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реализации подпрограммы прогнозируется приведение технического состояния многоквартирных домов в соответствие с нормативными требованиями, развитие конкуренции на рынке управления многоквартирными домами и формирование активного и информированного собственника жилья.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Основной целью развития системы жилищно-коммунального комплекса </w:t>
      </w:r>
      <w:r w:rsidR="00C069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1D37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обеспечение комфортных условий проживания населения </w:t>
      </w:r>
      <w:r w:rsidR="00C069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1D37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современными требованиями и стандартами.</w:t>
      </w:r>
    </w:p>
    <w:p w:rsidR="00EA1A54" w:rsidRPr="00EA1A54" w:rsidRDefault="00EA1A54" w:rsidP="00EA1A5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подпрограммы не менее чем на 10 процентов от планового уровня и на которые ответственный исполнитель и участники подпрограммы не могут оказать непосредственного влияния.</w:t>
      </w:r>
    </w:p>
    <w:p w:rsidR="00EA1A54" w:rsidRPr="00EA1A54" w:rsidRDefault="00EA1A54" w:rsidP="00E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1A54" w:rsidRPr="00EA1A54" w:rsidRDefault="001B0B49" w:rsidP="00EA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8.2</w:t>
      </w:r>
      <w:r w:rsidR="00EA1A54"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Цели, задачи и показатели (индикаторы),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основные ожидаемые конечные результаты,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сроки и этапы реализации подпрограммы 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Целями подпрограммы «Развитие жилищного хозяйства в </w:t>
      </w:r>
      <w:proofErr w:type="spellStart"/>
      <w:r w:rsidR="00150A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Истоминском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являются: улучшение технического состояния многоквартирных домов и </w:t>
      </w:r>
      <w:r w:rsidRPr="00EA1A54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t>создание благоприятных условий для управления многоквартирными домами</w:t>
      </w:r>
      <w:r w:rsidR="007709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содержание и ремонт объектов жилищно-коммунального хозяйства.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Достижение целей подпрограммы осуществляется путем решения следующих задач: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реализация механизма </w:t>
      </w:r>
      <w:proofErr w:type="spellStart"/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софинансирования</w:t>
      </w:r>
      <w:proofErr w:type="spellEnd"/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поддержки в рамках Областного</w:t>
      </w:r>
      <w:r w:rsidR="007709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закона от 11.06.2013 № 1101-ЗС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 капитальном ремонте общего имущества в многоквартирных домах на территории </w:t>
      </w:r>
      <w:r w:rsidR="00150A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 сельского поселения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»;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конкурентной среды в сфере управления многоквартирными домами;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создание условий для осознанного выбора собственниками помещений в многоквартирных домах способа управления данными домами;</w:t>
      </w:r>
    </w:p>
    <w:p w:rsid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населения о правах и обязанност</w:t>
      </w:r>
      <w:r w:rsidR="00F558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ях в жилищно-коммунальной сфере;</w:t>
      </w:r>
    </w:p>
    <w:p w:rsidR="00F5580B" w:rsidRPr="00EA1A54" w:rsidRDefault="00F5580B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содержание объектов жилищно-коммунального хозяйства.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достижения целей и решения задач подпрограммы. К показателям (индикаторам) подпрограммы «Развитие жилищного</w:t>
      </w:r>
      <w:r w:rsidR="001741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-коммунального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хозяйства в </w:t>
      </w:r>
      <w:proofErr w:type="spellStart"/>
      <w:r w:rsidR="00150A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Истоминском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относятся следующие: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целевой показатель (индикатор) 1.1 «Количество многоквартирных домов,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которых планируется провести капитальный ремонт»;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целевой показатель (индикатор) 1.</w:t>
      </w:r>
      <w:r w:rsidR="001D37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«Количество управляющих организаций и товариществ собственников жилья»;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целевой показатель (индикатор) 1.</w:t>
      </w:r>
      <w:r w:rsidR="001D37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«Количество лиц, обученных основам управления многоквартирными домами».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о значениях показателей (индикаторов) приводится в приложении к 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программе. Методика расчета целевых показателей (индикаторов) подпрограммы приводится в приложении к 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программе.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Подпрограмма будет реализовываться в период 2014 – 20</w:t>
      </w:r>
      <w:r w:rsidR="007709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годов. При реализации подпрограммы этапы не выделяются.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реализации подпрограммы:</w:t>
      </w:r>
    </w:p>
    <w:p w:rsidR="00EA1A54" w:rsidRPr="00EA1A54" w:rsidRDefault="00EA1A54" w:rsidP="001D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будет проведен капитальн</w:t>
      </w:r>
      <w:r w:rsidR="007709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ый ремонт многоквартирных домов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сокращены объемы жилищного фонда, требующего </w:t>
      </w:r>
      <w:r w:rsidR="001D37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проведения капитального ремонта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проведена эффективная разъяснительная работа с населением </w:t>
      </w:r>
      <w:r w:rsidR="00C069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Истоминского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1D37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жилищно-коммунального хозяйства, а также обучение основам управления многоквартирными домами.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подпрограммы должна привести к созданию комфортной среды обитани</w:t>
      </w:r>
      <w:r w:rsidR="00150A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 и жизнедеятельности населения в </w:t>
      </w:r>
      <w:proofErr w:type="spellStart"/>
      <w:r w:rsidR="00150A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Истоминском</w:t>
      </w:r>
      <w:proofErr w:type="spellEnd"/>
      <w:r w:rsidR="00150A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сельском поселении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результате реализации подпрограммы к 20</w:t>
      </w:r>
      <w:r w:rsidR="00C767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году должен сложиться качественно новый уровень состояния жилищной сферы. В частности, в качестве ожидаемых результатов реализации подпрограммы необходимо отметить следующие.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1A54" w:rsidRPr="00EA1A54" w:rsidRDefault="001B0B49" w:rsidP="00EA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8.3</w:t>
      </w:r>
      <w:r w:rsidR="00EA1A54"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Характеристика основных мероприятий подпрограммы </w:t>
      </w: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1A54" w:rsidRPr="00EA1A54" w:rsidRDefault="00EA1A54" w:rsidP="00E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соответствующих им задач как в целом по подпрограмме, так и по ее отдельным блокам.</w:t>
      </w:r>
    </w:p>
    <w:p w:rsidR="00C579D0" w:rsidRDefault="00EA1A54" w:rsidP="00C5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подпрограммы предполагается реализация следующих основных мероприятий.</w:t>
      </w:r>
      <w:r w:rsidR="00C579D0" w:rsidRPr="00C579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A1A54" w:rsidRPr="00EA1A54" w:rsidRDefault="00C579D0" w:rsidP="00E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Основное мероприятие 1.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514D42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Мероприятие по содержанию и ремонту объектов жилищно-коммунального хозяйства.</w:t>
      </w:r>
    </w:p>
    <w:p w:rsidR="00EA1A54" w:rsidRPr="00EA1A54" w:rsidRDefault="00EA1A54" w:rsidP="00E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Основное мероприятие 1.</w:t>
      </w:r>
      <w:r w:rsidR="00C579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Предоставление мер 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 1101-ЗС «О капитальном ремонте общего имущества в многоквартирных домах на территории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Ленинском сельском поселении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EA1A54" w:rsidRPr="00EA1A54" w:rsidRDefault="00EA1A54" w:rsidP="00E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Мероприятие обусловлено необходимостью </w:t>
      </w:r>
      <w:r w:rsidR="009E09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поддержки капитального ремонта, проводимого за счет средств собственников помещений в многоквартирных домах. В рамках мероприятия средства областного бюджета будут направлены на поддержку выполнения отдельных, наиболее значимых и дорогостоящих видов работ по капитальному ремонту.</w:t>
      </w:r>
    </w:p>
    <w:p w:rsidR="00EA1A54" w:rsidRPr="00EA1A54" w:rsidRDefault="00EA1A54" w:rsidP="00E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Основное мероприятие 1.</w:t>
      </w:r>
      <w:r w:rsidR="00C579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Информирование населения по вопросам управления многоквартирными домами и </w:t>
      </w:r>
      <w:proofErr w:type="spellStart"/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энергоэффективности</w:t>
      </w:r>
      <w:proofErr w:type="spellEnd"/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жилищной сфере.</w:t>
      </w:r>
    </w:p>
    <w:p w:rsidR="00EA1A54" w:rsidRPr="00EA1A54" w:rsidRDefault="00EA1A54" w:rsidP="00E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Данное мероприятие предусматривает:</w:t>
      </w:r>
    </w:p>
    <w:p w:rsidR="00EA1A54" w:rsidRPr="00EA1A54" w:rsidRDefault="00EA1A54" w:rsidP="00EE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освещение в средствах массовой информации изменений жилищного законодательства, затрагивающих права и устанавливающих обязанности гра</w:t>
      </w:r>
      <w:r w:rsidR="00EE22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ждан и организаций в сфере ЖКХ.</w:t>
      </w:r>
    </w:p>
    <w:p w:rsidR="00E96C3D" w:rsidRDefault="00EA1A54" w:rsidP="0077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управления многоквартирными домами.</w:t>
      </w:r>
      <w:r w:rsidR="007709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96C3D" w:rsidRPr="00E96C3D" w:rsidRDefault="00E96C3D" w:rsidP="00E96C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2F" w:rsidRPr="00EA1A54" w:rsidRDefault="001B0B49" w:rsidP="00E96C3D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8.4</w:t>
      </w:r>
      <w:r w:rsidR="00943D2F"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Информация по ресурсному обеспечению подпрограммы</w:t>
      </w:r>
    </w:p>
    <w:p w:rsidR="00943D2F" w:rsidRPr="00EA1A54" w:rsidRDefault="00943D2F" w:rsidP="0094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Источниками финансирования подпрограммы являются средства областного, местных бюджетов и внебюджетных источников – средств финансовой поддержки Фонда содействия реформированию жилищно-коммунального хозяйства.</w:t>
      </w:r>
    </w:p>
    <w:p w:rsidR="00943D2F" w:rsidRPr="00EA1A54" w:rsidRDefault="00943D2F" w:rsidP="0094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Общий объем финансового обеспечения реализации подпрограммы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2014 – 2020 годах составляет </w:t>
      </w:r>
      <w:r w:rsidR="00974F31" w:rsidRPr="00974F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2694,2</w:t>
      </w:r>
      <w:r w:rsidRPr="00974F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тыс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рублей (в текущих ценах) за счет всех источников финансирования, в том числе:</w:t>
      </w:r>
    </w:p>
    <w:p w:rsidR="00943D2F" w:rsidRPr="00EA1A54" w:rsidRDefault="00943D2F" w:rsidP="0094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счет средств областного бюджета 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0,0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тыс. рублей;</w:t>
      </w:r>
    </w:p>
    <w:p w:rsidR="00943D2F" w:rsidRPr="00EA1A54" w:rsidRDefault="00943D2F" w:rsidP="0094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счет средств местных бюджетов – </w:t>
      </w:r>
      <w:r w:rsidR="00974F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2694,2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тыс. рублей;</w:t>
      </w:r>
    </w:p>
    <w:p w:rsidR="00943D2F" w:rsidRPr="00EA1A54" w:rsidRDefault="00943D2F" w:rsidP="0094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за счет средств внебюджетных источников (Фонд содействия реформированию жилищно-коммунального хозяйства) –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0,0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тыс. рублей.</w:t>
      </w:r>
    </w:p>
    <w:p w:rsidR="00943D2F" w:rsidRPr="00EA1A54" w:rsidRDefault="00943D2F" w:rsidP="0094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Объем финансирования подпрограммы подлежит ежегодному уточнению.</w:t>
      </w:r>
    </w:p>
    <w:p w:rsidR="00943D2F" w:rsidRPr="00EA1A54" w:rsidRDefault="00943D2F" w:rsidP="0094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из средств местного бюджета.</w:t>
      </w:r>
    </w:p>
    <w:p w:rsidR="00943D2F" w:rsidRPr="00EA1A54" w:rsidRDefault="00943D2F" w:rsidP="0094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Средства местных бюджетов, объемы финансирования и направления мероприятий подпрограммы выделяются в рамках муниципальн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43D2F" w:rsidRPr="00EA1A54" w:rsidRDefault="00943D2F" w:rsidP="0094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Средства местных бюджетов, предусмотренные на </w:t>
      </w:r>
      <w:proofErr w:type="spellStart"/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софинансирование</w:t>
      </w:r>
      <w:proofErr w:type="spellEnd"/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расходов при выделении субсидий областного бюджета, отражаются в подпрограмме в объеме не ниже установленного Правительством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Ростовский области </w:t>
      </w: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уровня </w:t>
      </w:r>
      <w:proofErr w:type="spellStart"/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софинансирования</w:t>
      </w:r>
      <w:proofErr w:type="spellEnd"/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43D2F" w:rsidRPr="00EA1A54" w:rsidRDefault="00943D2F" w:rsidP="0094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943D2F" w:rsidRPr="00EA1A54" w:rsidRDefault="00943D2F" w:rsidP="0094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34A4" w:rsidRDefault="004234A4" w:rsidP="0051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4234A4" w:rsidRDefault="004234A4" w:rsidP="004234A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A54" w:rsidRDefault="00EA1A54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296E" w:rsidRDefault="0037296E" w:rsidP="00EA1A5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7296E" w:rsidSect="004234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729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ind w:firstLine="978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296E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ind w:firstLine="978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296E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37296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ind w:firstLine="978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7296E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37296E" w:rsidRPr="0037296E" w:rsidRDefault="0037296E" w:rsidP="0037296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Par400"/>
      <w:bookmarkEnd w:id="7"/>
      <w:r w:rsidRPr="0037296E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96E">
        <w:rPr>
          <w:rFonts w:ascii="Times New Roman" w:eastAsia="Calibri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463"/>
        <w:gridCol w:w="864"/>
        <w:gridCol w:w="1404"/>
        <w:gridCol w:w="1418"/>
        <w:gridCol w:w="1417"/>
        <w:gridCol w:w="1276"/>
        <w:gridCol w:w="1276"/>
        <w:gridCol w:w="1417"/>
        <w:gridCol w:w="1276"/>
      </w:tblGrid>
      <w:tr w:rsidR="0037296E" w:rsidRPr="0037296E" w:rsidTr="0037296E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9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7296E" w:rsidRPr="0037296E" w:rsidTr="0037296E">
        <w:trPr>
          <w:trHeight w:val="811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104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EF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7296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F1E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 w:rsidRPr="003729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96E" w:rsidRPr="0037296E" w:rsidTr="0037296E">
        <w:trPr>
          <w:trHeight w:val="191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D0C42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spacing w:after="0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внебюджетных источников в общем объеме инвестиций в модернизацию коммунальной инфраструктуры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96E" w:rsidRPr="0037296E" w:rsidTr="0037296E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spacing w:after="0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73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96E" w:rsidRPr="0037296E" w:rsidTr="0037296E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D0C42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296E"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многоквартирных домов, в которых планируется </w:t>
            </w: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провести капитальный ремонт;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296E" w:rsidRPr="0037296E" w:rsidTr="00101841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D0C42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296E"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управляющих организаций и товариществ собственников жилья;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153FA7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296E" w:rsidRPr="0037296E" w:rsidTr="00101841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D0C42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9E09CB" w:rsidRDefault="0037296E" w:rsidP="003729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09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лиц, обученных основам управления многоквартирными домами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03151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E43868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Default="0037296E" w:rsidP="0037296E">
      <w:pPr>
        <w:rPr>
          <w:rFonts w:ascii="Calibri" w:eastAsia="Calibri" w:hAnsi="Calibri" w:cs="Times New Roman"/>
        </w:rPr>
      </w:pPr>
    </w:p>
    <w:p w:rsidR="00BB0066" w:rsidRDefault="00BB0066" w:rsidP="0037296E">
      <w:pPr>
        <w:rPr>
          <w:rFonts w:ascii="Calibri" w:eastAsia="Calibri" w:hAnsi="Calibri" w:cs="Times New Roman"/>
        </w:rPr>
      </w:pPr>
    </w:p>
    <w:p w:rsidR="00BB0066" w:rsidRDefault="00BB0066" w:rsidP="0037296E">
      <w:pPr>
        <w:rPr>
          <w:rFonts w:ascii="Calibri" w:eastAsia="Calibri" w:hAnsi="Calibri" w:cs="Times New Roman"/>
        </w:rPr>
      </w:pPr>
    </w:p>
    <w:p w:rsidR="00BB0066" w:rsidRDefault="00BB0066" w:rsidP="0037296E">
      <w:pPr>
        <w:rPr>
          <w:rFonts w:ascii="Calibri" w:eastAsia="Calibri" w:hAnsi="Calibri" w:cs="Times New Roman"/>
        </w:rPr>
      </w:pPr>
    </w:p>
    <w:p w:rsidR="00BB0066" w:rsidRDefault="00BB0066" w:rsidP="0037296E">
      <w:pPr>
        <w:rPr>
          <w:rFonts w:ascii="Calibri" w:eastAsia="Calibri" w:hAnsi="Calibri" w:cs="Times New Roman"/>
        </w:rPr>
      </w:pPr>
    </w:p>
    <w:p w:rsidR="00BB0066" w:rsidRPr="0037296E" w:rsidRDefault="00BB0066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Default="0037296E" w:rsidP="0037296E">
      <w:pPr>
        <w:rPr>
          <w:rFonts w:ascii="Calibri" w:eastAsia="Calibri" w:hAnsi="Calibri" w:cs="Times New Roman"/>
        </w:rPr>
      </w:pPr>
    </w:p>
    <w:p w:rsidR="003D0C42" w:rsidRPr="0037296E" w:rsidRDefault="003D0C42" w:rsidP="0037296E">
      <w:pPr>
        <w:rPr>
          <w:rFonts w:ascii="Calibri" w:eastAsia="Calibri" w:hAnsi="Calibri" w:cs="Times New Roman"/>
        </w:rPr>
      </w:pPr>
    </w:p>
    <w:p w:rsidR="00545605" w:rsidRPr="006555B1" w:rsidRDefault="00545605" w:rsidP="0054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0D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</w:t>
      </w:r>
      <w:r w:rsidR="004330D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</w:p>
    <w:p w:rsidR="00545605" w:rsidRPr="006555B1" w:rsidRDefault="00545605" w:rsidP="00545605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</w:p>
    <w:p w:rsidR="00C35F5D" w:rsidRDefault="00545605" w:rsidP="00545605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55B1"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качественными </w:t>
      </w:r>
    </w:p>
    <w:p w:rsidR="00545605" w:rsidRPr="006555B1" w:rsidRDefault="00545605" w:rsidP="00545605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жилищно-коммунальными услугами населения»</w:t>
      </w:r>
    </w:p>
    <w:p w:rsidR="00545605" w:rsidRPr="001F5677" w:rsidRDefault="00545605" w:rsidP="00545605">
      <w:pPr>
        <w:widowControl w:val="0"/>
        <w:jc w:val="right"/>
        <w:rPr>
          <w:rFonts w:ascii="Times New Roman" w:eastAsia="Times New Roman" w:hAnsi="Times New Roman" w:cs="Times New Roman"/>
          <w:kern w:val="1"/>
          <w:sz w:val="6"/>
          <w:szCs w:val="6"/>
          <w:lang w:eastAsia="ru-RU"/>
        </w:rPr>
      </w:pPr>
      <w:bookmarkStart w:id="8" w:name="Par676"/>
      <w:bookmarkEnd w:id="8"/>
    </w:p>
    <w:p w:rsidR="00545605" w:rsidRDefault="00545605" w:rsidP="00545605">
      <w:pPr>
        <w:widowControl w:val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Расходы</w:t>
      </w:r>
      <w:r w:rsidRPr="00EE73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Истоминского сельского поселения </w:t>
      </w:r>
      <w:r w:rsidRPr="00EE73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реализацию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муниципальной</w:t>
      </w:r>
      <w:r w:rsidRPr="00EE73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545605" w:rsidRPr="00EE73D4" w:rsidTr="00C35F5D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545605" w:rsidRPr="00EE73D4" w:rsidRDefault="00545605" w:rsidP="00EF1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</w:t>
            </w:r>
            <w:proofErr w:type="spellStart"/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545605" w:rsidRPr="00EE73D4" w:rsidRDefault="00545605" w:rsidP="00EF1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45605" w:rsidRPr="00EE73D4" w:rsidRDefault="00545605" w:rsidP="00EF1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</w:t>
            </w:r>
            <w:proofErr w:type="spellStart"/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ный</w:t>
            </w:r>
            <w:proofErr w:type="spellEnd"/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</w:r>
            <w:proofErr w:type="gramStart"/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исполнитель,   </w:t>
            </w:r>
            <w:proofErr w:type="gramEnd"/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</w:r>
            <w:proofErr w:type="spellStart"/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соисполни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</w:t>
            </w:r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тели</w:t>
            </w:r>
            <w:proofErr w:type="spellEnd"/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,  </w:t>
            </w:r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545605" w:rsidRPr="00EE73D4" w:rsidRDefault="00545605" w:rsidP="00EF1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Код бюджетной </w:t>
            </w:r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545605" w:rsidRPr="00EE73D4" w:rsidRDefault="00545605" w:rsidP="00EF1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EE7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545605" w:rsidRPr="00EE73D4" w:rsidTr="00C35F5D">
        <w:tc>
          <w:tcPr>
            <w:tcW w:w="992" w:type="dxa"/>
            <w:vMerge/>
            <w:shd w:val="clear" w:color="auto" w:fill="auto"/>
          </w:tcPr>
          <w:p w:rsidR="00545605" w:rsidRPr="00EE73D4" w:rsidRDefault="00545605" w:rsidP="00EF1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5605" w:rsidRPr="00EE73D4" w:rsidRDefault="00545605" w:rsidP="00EF1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45605" w:rsidRPr="00EE73D4" w:rsidRDefault="00545605" w:rsidP="00EF1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45605" w:rsidRPr="00AD428D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5605" w:rsidRPr="00AD428D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45605" w:rsidRPr="00AD428D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605" w:rsidRPr="00AD428D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605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AD7BD0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</w:t>
            </w:r>
            <w:proofErr w:type="spellStart"/>
            <w:proofErr w:type="gramStart"/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AD7BD0" w:rsidRDefault="00545605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AD7BD0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545605" w:rsidRPr="00AD7BD0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</w:t>
            </w:r>
            <w:proofErr w:type="gramStart"/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числе:   </w:t>
            </w:r>
            <w:proofErr w:type="gramEnd"/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605" w:rsidRPr="007B4709" w:rsidRDefault="009D3BCF" w:rsidP="00EF1E2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517,2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6BE" w:rsidRPr="007B4709" w:rsidRDefault="009D3BCF" w:rsidP="004D76BE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9D3BCF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101841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101841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101841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101841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338,4</w:t>
            </w: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AD7BD0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AD7BD0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AD7BD0" w:rsidRDefault="00C35F5D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545605" w:rsidRPr="00AD7BD0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E73D4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7B4709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545605" w:rsidP="00EF1E2D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545605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545605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545605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545605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Pr="0021334B" w:rsidRDefault="00545605" w:rsidP="00EF1E2D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прог-рамма</w:t>
            </w:r>
            <w:proofErr w:type="spellEnd"/>
            <w:proofErr w:type="gramEnd"/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5D" w:rsidRPr="00AD7BD0" w:rsidRDefault="00C35F5D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специалист ЖКХ </w:t>
            </w:r>
          </w:p>
          <w:p w:rsidR="00545605" w:rsidRPr="00AD7BD0" w:rsidRDefault="00545605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7B4709" w:rsidRDefault="009D3BCF" w:rsidP="00EF1E2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517,2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9D3BCF" w:rsidP="00EF1E2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9D3BCF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101841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101841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101841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7B4709" w:rsidRDefault="00101841" w:rsidP="0021334B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338,4</w:t>
            </w: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C35F5D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строительство, реконструкцию, капитальный ремонт объектов ЖКХ</w:t>
            </w:r>
            <w:r w:rsidR="005456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5D" w:rsidRPr="00AD7BD0" w:rsidRDefault="00C35F5D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545605" w:rsidRPr="00AD7BD0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5F5D" w:rsidRDefault="00C35F5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5F5D" w:rsidRDefault="00C35F5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330714" w:rsidRDefault="00330714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C3213D" w:rsidRDefault="00C35F5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C35F5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C35F5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C35F5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C35F5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C35F5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C35F5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22,4</w:t>
            </w: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C35F5D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5D" w:rsidRPr="00AD7BD0" w:rsidRDefault="00C35F5D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545605" w:rsidRPr="00AD7BD0" w:rsidRDefault="00545605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5F5D" w:rsidRDefault="00C35F5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5F5D" w:rsidRDefault="00C35F5D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DD632E" w:rsidRDefault="00330714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C3213D" w:rsidRDefault="00C35F5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213D" w:rsidRDefault="00C35F5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213D" w:rsidRDefault="00C35F5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213D" w:rsidRDefault="00C35F5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C35F5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C35F5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C35F5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C35F5D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5D" w:rsidRPr="00AD7BD0" w:rsidRDefault="00C35F5D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545605" w:rsidRPr="00AD7BD0" w:rsidRDefault="00545605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5F5D" w:rsidRDefault="00C35F5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5F5D" w:rsidRDefault="00C35F5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5F5D" w:rsidRDefault="00330714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C3213D" w:rsidRDefault="00283AF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213D" w:rsidRDefault="00283AF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213D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213D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EA097A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283AFD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5D" w:rsidRPr="00AD7BD0" w:rsidRDefault="00C35F5D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545605" w:rsidRPr="00AD7BD0" w:rsidRDefault="00545605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83AFD" w:rsidRDefault="00283AF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83AFD" w:rsidRDefault="00283AF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83AFD" w:rsidRDefault="00283AFD" w:rsidP="00330714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</w:t>
            </w:r>
            <w:r w:rsidR="00330714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Default="00283AF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283AF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213D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213D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283AFD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5D" w:rsidRPr="00AD7BD0" w:rsidRDefault="00C35F5D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545605" w:rsidRPr="00AD7BD0" w:rsidRDefault="00545605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83AFD" w:rsidRDefault="00283AF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83AFD" w:rsidRDefault="00283AF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83AFD" w:rsidRDefault="00283AFD" w:rsidP="00330714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</w:t>
            </w:r>
            <w:r w:rsidR="00330714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Default="00283AF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283AFD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213D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</w:t>
            </w:r>
            <w:r w:rsidR="00545605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C3213D" w:rsidRDefault="00283AFD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605" w:rsidRDefault="00283AFD" w:rsidP="00EF1E2D">
            <w:r>
              <w:t>0</w:t>
            </w:r>
            <w:r w:rsidR="0054560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605" w:rsidRDefault="00283AFD" w:rsidP="00EF1E2D">
            <w:r>
              <w:t>0</w:t>
            </w:r>
            <w:r w:rsidR="0054560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r>
              <w:t>24,0</w:t>
            </w: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21334B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Расходы на разработку схем сетей водоснабжения 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водоотведение населенных пунктов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5D" w:rsidRPr="00AD7BD0" w:rsidRDefault="00C35F5D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545605" w:rsidRPr="00AD7BD0" w:rsidRDefault="00545605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21334B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21334B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21334B" w:rsidP="00330714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</w:t>
            </w:r>
            <w:r w:rsidR="00330714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Default="0021334B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21334B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21334B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21334B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r>
              <w:t>0</w:t>
            </w:r>
            <w:r w:rsidR="001018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r>
              <w:t>0</w:t>
            </w:r>
            <w:r w:rsidR="001018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r>
              <w:t>0</w:t>
            </w:r>
            <w:r w:rsidR="00101841">
              <w:t>,0</w:t>
            </w:r>
          </w:p>
        </w:tc>
      </w:tr>
      <w:tr w:rsidR="00545605" w:rsidRPr="00EE73D4" w:rsidTr="00C3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545605" w:rsidRDefault="00545605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05" w:rsidRDefault="0021334B" w:rsidP="00EF1E2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5D" w:rsidRPr="00AD7BD0" w:rsidRDefault="00C35F5D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545605" w:rsidRPr="00AD7BD0" w:rsidRDefault="00545605" w:rsidP="00C35F5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545605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21334B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21334B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21334B" w:rsidP="00330714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</w:t>
            </w:r>
            <w:r w:rsidR="00330714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Default="0021334B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Pr="0021334B" w:rsidRDefault="0021334B" w:rsidP="00EF1E2D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21334B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605" w:rsidRDefault="0021334B" w:rsidP="00EF1E2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605" w:rsidRDefault="00545605" w:rsidP="00EF1E2D">
            <w:r>
              <w:t>100,0</w:t>
            </w:r>
          </w:p>
        </w:tc>
      </w:tr>
    </w:tbl>
    <w:p w:rsidR="00545605" w:rsidRPr="00CC50F9" w:rsidRDefault="00545605" w:rsidP="00545605">
      <w:pPr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*Объем расходов подлежит корректировке после утверждения бюджета Истоминского сельского поселения на 2015 год и плановый период 2016 и 2017 годов</w:t>
      </w:r>
    </w:p>
    <w:p w:rsidR="00545605" w:rsidRPr="00D10B83" w:rsidRDefault="00545605" w:rsidP="00545605"/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Default="0037296E" w:rsidP="0037296E">
      <w:pPr>
        <w:rPr>
          <w:rFonts w:ascii="Calibri" w:eastAsia="Calibri" w:hAnsi="Calibri" w:cs="Times New Roman"/>
        </w:rPr>
      </w:pPr>
    </w:p>
    <w:p w:rsidR="00972CF1" w:rsidRDefault="00972CF1" w:rsidP="0037296E">
      <w:pPr>
        <w:rPr>
          <w:rFonts w:ascii="Calibri" w:eastAsia="Calibri" w:hAnsi="Calibri" w:cs="Times New Roman"/>
        </w:rPr>
      </w:pPr>
    </w:p>
    <w:p w:rsidR="00054C1B" w:rsidRDefault="00054C1B" w:rsidP="0037296E">
      <w:pPr>
        <w:rPr>
          <w:rFonts w:ascii="Calibri" w:eastAsia="Calibri" w:hAnsi="Calibri" w:cs="Times New Roman"/>
        </w:rPr>
      </w:pPr>
    </w:p>
    <w:p w:rsidR="004D76BE" w:rsidRDefault="004D76BE" w:rsidP="0037296E">
      <w:pPr>
        <w:rPr>
          <w:rFonts w:ascii="Calibri" w:eastAsia="Calibri" w:hAnsi="Calibri" w:cs="Times New Roman"/>
        </w:rPr>
      </w:pPr>
    </w:p>
    <w:p w:rsidR="004D76BE" w:rsidRDefault="004D76BE" w:rsidP="0037296E">
      <w:pPr>
        <w:rPr>
          <w:rFonts w:ascii="Calibri" w:eastAsia="Calibri" w:hAnsi="Calibri" w:cs="Times New Roman"/>
        </w:rPr>
      </w:pPr>
    </w:p>
    <w:p w:rsidR="004D76BE" w:rsidRPr="0037296E" w:rsidRDefault="004D76BE" w:rsidP="0037296E">
      <w:pPr>
        <w:rPr>
          <w:rFonts w:ascii="Calibri" w:eastAsia="Calibri" w:hAnsi="Calibri" w:cs="Times New Roman"/>
        </w:rPr>
      </w:pPr>
    </w:p>
    <w:p w:rsidR="0037296E" w:rsidRPr="0037296E" w:rsidRDefault="00330714" w:rsidP="003729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9" w:name="Par879"/>
      <w:bookmarkEnd w:id="9"/>
      <w:r w:rsidRPr="0037296E"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96E">
        <w:rPr>
          <w:rFonts w:ascii="Times New Roman" w:eastAsia="Calibri" w:hAnsi="Times New Roman" w:cs="Times New Roman"/>
          <w:sz w:val="24"/>
          <w:szCs w:val="24"/>
        </w:rPr>
        <w:t xml:space="preserve">областного бюджета, федерального бюджета, местных бюджетов 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96E">
        <w:rPr>
          <w:rFonts w:ascii="Times New Roman" w:eastAsia="Calibri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7296E" w:rsidRPr="0037296E" w:rsidTr="0037296E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972CF1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9D3BCF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9D3BCF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9D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972CF1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30714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7296E" w:rsidRPr="0037296E" w:rsidTr="0037296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rPr>
          <w:rFonts w:ascii="Calibri" w:eastAsia="Calibri" w:hAnsi="Calibri" w:cs="Times New Roman"/>
        </w:rPr>
      </w:pP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7296E">
        <w:rPr>
          <w:rFonts w:ascii="Times New Roman" w:eastAsia="Calibri" w:hAnsi="Times New Roman" w:cs="Times New Roman"/>
          <w:sz w:val="24"/>
          <w:szCs w:val="24"/>
        </w:rPr>
        <w:lastRenderedPageBreak/>
        <w:t>Таблица 5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0" w:name="Par990"/>
      <w:bookmarkEnd w:id="10"/>
      <w:r w:rsidRPr="0037296E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96E">
        <w:rPr>
          <w:rFonts w:ascii="Times New Roman" w:eastAsia="Calibri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p w:rsidR="0037296E" w:rsidRPr="0037296E" w:rsidRDefault="0037296E" w:rsidP="0037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3438"/>
      </w:tblGrid>
      <w:tr w:rsidR="0037296E" w:rsidRPr="0037296E" w:rsidTr="0037296E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37296E" w:rsidRPr="0037296E" w:rsidTr="00FC7BC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296E" w:rsidRPr="0037296E" w:rsidTr="00FC7BCF">
        <w:trPr>
          <w:trHeight w:val="40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FC7BCF" w:rsidRDefault="00FC7BCF" w:rsidP="00FC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eastAsia="ru-RU"/>
              </w:rPr>
            </w:pPr>
            <w:r w:rsidRPr="00FC7BCF">
              <w:rPr>
                <w:rFonts w:ascii="Times New Roman" w:hAnsi="Times New Roman" w:cs="Times New Roman"/>
                <w:sz w:val="24"/>
                <w:szCs w:val="28"/>
              </w:rPr>
              <w:t>Степень достижения планируемых результатов целевых индикаторов реализации мероприятий Программы</w:t>
            </w:r>
          </w:p>
          <w:p w:rsidR="0037296E" w:rsidRPr="0037296E" w:rsidRDefault="0037296E" w:rsidP="00FC7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E" w:rsidRPr="0037296E" w:rsidRDefault="0037296E" w:rsidP="0037296E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BCF" w:rsidRP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ЦИФ</w:t>
            </w:r>
          </w:p>
          <w:p w:rsidR="00FC7BCF" w:rsidRP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FC7BCF" w:rsidRP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 w:rsidRPr="00FC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------,</w:t>
            </w:r>
          </w:p>
          <w:p w:rsidR="00FC7BCF" w:rsidRP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C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</w:p>
          <w:p w:rsidR="00FC7BCF" w:rsidRP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FC7BCF" w:rsidRP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96E" w:rsidRPr="00EB770F" w:rsidRDefault="0037296E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КЦИ  - степень достижения i-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 Программы;</w:t>
            </w:r>
          </w:p>
          <w:p w:rsid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ЦИФ  (</w:t>
            </w:r>
            <w:proofErr w:type="gram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ЦИП ) - фактическое (плановое) значение i-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 Программы</w:t>
            </w:r>
          </w:p>
          <w:p w:rsid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CF" w:rsidRPr="0037296E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КЦИ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 быть больше либо равно 1.</w:t>
            </w:r>
          </w:p>
        </w:tc>
      </w:tr>
      <w:tr w:rsidR="00FC7BCF" w:rsidRPr="0037296E" w:rsidTr="00FC7BCF">
        <w:trPr>
          <w:trHeight w:val="40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Pr="0037296E" w:rsidRDefault="00FC7BCF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Pr="00FC7BCF" w:rsidRDefault="00FC7BCF" w:rsidP="00FC7BCF">
            <w:pPr>
              <w:pStyle w:val="ConsPlusNormal"/>
              <w:widowControl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F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бюджетных затрат на мероприятия Программы запланированному уровню затрат</w:t>
            </w:r>
          </w:p>
          <w:p w:rsidR="00FC7BCF" w:rsidRPr="007716EA" w:rsidRDefault="00FC7BCF" w:rsidP="00FC7BC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CF" w:rsidRP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Pr="0037296E" w:rsidRDefault="00FC7BCF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Pr="00511B89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БЗФ</w:t>
            </w:r>
          </w:p>
          <w:p w:rsidR="00FC7BCF" w:rsidRPr="00511B89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КБЗ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= ------,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БЗП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FC7BCF" w:rsidRPr="0037296E" w:rsidRDefault="00FC7BCF" w:rsidP="0037296E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КБЗ  - степень соответствия бюджетных затрат i-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Программы;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БЗФ  (</w:t>
            </w:r>
            <w:proofErr w:type="gram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БЗП ) - фактическое (плановое, прогнозное) значение бюджетных затрат i-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Программы. 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Значение показателя КБЗ  должно быть меньше либо равно 1.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CF" w:rsidRPr="0037296E" w:rsidTr="00FC7BCF">
        <w:trPr>
          <w:trHeight w:val="40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Default="00FC7BCF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Pr="00FC7BCF" w:rsidRDefault="00FC7BCF" w:rsidP="00FC7BCF">
            <w:pPr>
              <w:pStyle w:val="ConsPlusNormal"/>
              <w:widowControl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F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бюджетных средств на реализацию отдельных мероприятий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CF" w:rsidRPr="00511B89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Pr="0037296E" w:rsidRDefault="00FC7BCF" w:rsidP="0037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БРП</w:t>
            </w:r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БРФ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------; </w:t>
            </w: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------,</w:t>
            </w:r>
          </w:p>
          <w:p w:rsidR="00FC7BCF" w:rsidRP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C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Pr="00FC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C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ЦИФ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ЭП  (</w:t>
            </w:r>
            <w:proofErr w:type="gram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ЭФ ) - плановая   (фактическая)   отдача   бюджетных  средств по i-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 Программы;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БРП  (</w:t>
            </w:r>
            <w:proofErr w:type="gram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БРФ ) - плановый   (фактический)   расход    бюджетных   средств на i-е мероприятие Программы; 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ЦИП  (</w:t>
            </w:r>
            <w:proofErr w:type="gram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ЦИФ ) - плановое   (фактическое)  значение  целевого  индикатора по i-</w:t>
            </w:r>
            <w:proofErr w:type="spell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 Программы.</w:t>
            </w:r>
          </w:p>
          <w:p w:rsidR="00FC7BCF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Значение показателя </w:t>
            </w:r>
            <w:proofErr w:type="gramStart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>ЭФ  не</w:t>
            </w:r>
            <w:proofErr w:type="gramEnd"/>
            <w:r w:rsidRPr="007716EA">
              <w:rPr>
                <w:rFonts w:ascii="Times New Roman" w:hAnsi="Times New Roman" w:cs="Times New Roman"/>
                <w:sz w:val="24"/>
                <w:szCs w:val="24"/>
              </w:rPr>
              <w:t xml:space="preserve"> должно превышать значения показателя ЭП .</w:t>
            </w:r>
          </w:p>
          <w:p w:rsidR="00FC7BCF" w:rsidRPr="007716EA" w:rsidRDefault="00FC7BCF" w:rsidP="00FC7B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96E" w:rsidRPr="00EA1A54" w:rsidRDefault="0037296E" w:rsidP="00204CC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37296E" w:rsidRPr="00EA1A54" w:rsidSect="003729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964"/>
    <w:multiLevelType w:val="hybridMultilevel"/>
    <w:tmpl w:val="D780D4FC"/>
    <w:lvl w:ilvl="0" w:tplc="1034D8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20AD2"/>
    <w:multiLevelType w:val="hybridMultilevel"/>
    <w:tmpl w:val="CD782906"/>
    <w:lvl w:ilvl="0" w:tplc="1034D8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AC3F3B"/>
    <w:multiLevelType w:val="hybridMultilevel"/>
    <w:tmpl w:val="1A28EE00"/>
    <w:lvl w:ilvl="0" w:tplc="1034D8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617749"/>
    <w:multiLevelType w:val="hybridMultilevel"/>
    <w:tmpl w:val="3EE060A4"/>
    <w:lvl w:ilvl="0" w:tplc="1034D8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56764"/>
    <w:multiLevelType w:val="hybridMultilevel"/>
    <w:tmpl w:val="16B8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096B2F"/>
    <w:multiLevelType w:val="hybridMultilevel"/>
    <w:tmpl w:val="F7A2B25E"/>
    <w:lvl w:ilvl="0" w:tplc="1034D8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5545A"/>
    <w:multiLevelType w:val="hybridMultilevel"/>
    <w:tmpl w:val="AFCA6178"/>
    <w:lvl w:ilvl="0" w:tplc="1034D8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C505F0"/>
    <w:multiLevelType w:val="hybridMultilevel"/>
    <w:tmpl w:val="A5043476"/>
    <w:lvl w:ilvl="0" w:tplc="1034D8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8771BF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60"/>
    <w:rsid w:val="00015ECC"/>
    <w:rsid w:val="00054C1B"/>
    <w:rsid w:val="000E51DC"/>
    <w:rsid w:val="00101841"/>
    <w:rsid w:val="00111F33"/>
    <w:rsid w:val="00120C89"/>
    <w:rsid w:val="0013292E"/>
    <w:rsid w:val="00150A22"/>
    <w:rsid w:val="00153FA7"/>
    <w:rsid w:val="001741D4"/>
    <w:rsid w:val="001B0B49"/>
    <w:rsid w:val="001D37BB"/>
    <w:rsid w:val="001F147D"/>
    <w:rsid w:val="00204CC4"/>
    <w:rsid w:val="0021334B"/>
    <w:rsid w:val="00225260"/>
    <w:rsid w:val="00242A89"/>
    <w:rsid w:val="002461F4"/>
    <w:rsid w:val="00271AAE"/>
    <w:rsid w:val="00273D35"/>
    <w:rsid w:val="002743A3"/>
    <w:rsid w:val="00276CCC"/>
    <w:rsid w:val="0027731D"/>
    <w:rsid w:val="002805F2"/>
    <w:rsid w:val="00283AFD"/>
    <w:rsid w:val="002C1953"/>
    <w:rsid w:val="002D0719"/>
    <w:rsid w:val="002E5D93"/>
    <w:rsid w:val="002F3E3F"/>
    <w:rsid w:val="0030096C"/>
    <w:rsid w:val="00305580"/>
    <w:rsid w:val="00330714"/>
    <w:rsid w:val="00334184"/>
    <w:rsid w:val="00351B2B"/>
    <w:rsid w:val="0037296E"/>
    <w:rsid w:val="003A169C"/>
    <w:rsid w:val="003B54EE"/>
    <w:rsid w:val="003C3790"/>
    <w:rsid w:val="003D0C42"/>
    <w:rsid w:val="003F7AC5"/>
    <w:rsid w:val="004031AD"/>
    <w:rsid w:val="00405240"/>
    <w:rsid w:val="004234A4"/>
    <w:rsid w:val="004244CE"/>
    <w:rsid w:val="004330D3"/>
    <w:rsid w:val="00445070"/>
    <w:rsid w:val="004B7753"/>
    <w:rsid w:val="004D76BE"/>
    <w:rsid w:val="004F1EA0"/>
    <w:rsid w:val="00511B89"/>
    <w:rsid w:val="00514D42"/>
    <w:rsid w:val="00545605"/>
    <w:rsid w:val="005473AC"/>
    <w:rsid w:val="005711E2"/>
    <w:rsid w:val="00583EF5"/>
    <w:rsid w:val="0059138D"/>
    <w:rsid w:val="005E7586"/>
    <w:rsid w:val="005F6181"/>
    <w:rsid w:val="006252B7"/>
    <w:rsid w:val="0066017F"/>
    <w:rsid w:val="00662713"/>
    <w:rsid w:val="00684350"/>
    <w:rsid w:val="006910DC"/>
    <w:rsid w:val="006A4026"/>
    <w:rsid w:val="006E26BD"/>
    <w:rsid w:val="007334AB"/>
    <w:rsid w:val="007416A6"/>
    <w:rsid w:val="0077095A"/>
    <w:rsid w:val="007B6551"/>
    <w:rsid w:val="008236CF"/>
    <w:rsid w:val="008701EE"/>
    <w:rsid w:val="00884BA5"/>
    <w:rsid w:val="008C78B3"/>
    <w:rsid w:val="0090052A"/>
    <w:rsid w:val="009114C9"/>
    <w:rsid w:val="00943D2F"/>
    <w:rsid w:val="00946F90"/>
    <w:rsid w:val="00952F3E"/>
    <w:rsid w:val="00972CF1"/>
    <w:rsid w:val="00974F31"/>
    <w:rsid w:val="009A3583"/>
    <w:rsid w:val="009D071B"/>
    <w:rsid w:val="009D3BCF"/>
    <w:rsid w:val="009E09CB"/>
    <w:rsid w:val="00A21C36"/>
    <w:rsid w:val="00A21CEF"/>
    <w:rsid w:val="00A25EDF"/>
    <w:rsid w:val="00A40E6B"/>
    <w:rsid w:val="00A4628E"/>
    <w:rsid w:val="00A708ED"/>
    <w:rsid w:val="00A82F3A"/>
    <w:rsid w:val="00B913C3"/>
    <w:rsid w:val="00B945AE"/>
    <w:rsid w:val="00BB0066"/>
    <w:rsid w:val="00BB32CB"/>
    <w:rsid w:val="00BD020F"/>
    <w:rsid w:val="00BF760C"/>
    <w:rsid w:val="00C069AE"/>
    <w:rsid w:val="00C17400"/>
    <w:rsid w:val="00C26126"/>
    <w:rsid w:val="00C314C4"/>
    <w:rsid w:val="00C35F5D"/>
    <w:rsid w:val="00C579D0"/>
    <w:rsid w:val="00C76727"/>
    <w:rsid w:val="00CB70A6"/>
    <w:rsid w:val="00CE5952"/>
    <w:rsid w:val="00D24687"/>
    <w:rsid w:val="00D8541C"/>
    <w:rsid w:val="00D90E4E"/>
    <w:rsid w:val="00DD6CE9"/>
    <w:rsid w:val="00E03151"/>
    <w:rsid w:val="00E36838"/>
    <w:rsid w:val="00E43868"/>
    <w:rsid w:val="00E44E89"/>
    <w:rsid w:val="00E45C6C"/>
    <w:rsid w:val="00E57D70"/>
    <w:rsid w:val="00E608C4"/>
    <w:rsid w:val="00E73663"/>
    <w:rsid w:val="00E96C3D"/>
    <w:rsid w:val="00EA1A54"/>
    <w:rsid w:val="00EA4259"/>
    <w:rsid w:val="00EB770F"/>
    <w:rsid w:val="00ED47EB"/>
    <w:rsid w:val="00EE22DE"/>
    <w:rsid w:val="00EF1E2D"/>
    <w:rsid w:val="00EF3421"/>
    <w:rsid w:val="00F2537D"/>
    <w:rsid w:val="00F373B8"/>
    <w:rsid w:val="00F5580B"/>
    <w:rsid w:val="00F673A2"/>
    <w:rsid w:val="00F96193"/>
    <w:rsid w:val="00FB4214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3C57E-4E99-41B2-AD85-7C4A232B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1A5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1A5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EA1A5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1A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1A5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1A54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1A5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1A5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A1A5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B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B65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4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E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511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1A5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1A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EA1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EA1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1A54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1A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1A54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1A5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1A5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1A54"/>
  </w:style>
  <w:style w:type="character" w:customStyle="1" w:styleId="31">
    <w:name w:val="Заголовок 3 Знак1"/>
    <w:aliases w:val="Знак2 Знак Знак"/>
    <w:link w:val="3"/>
    <w:uiPriority w:val="99"/>
    <w:locked/>
    <w:rsid w:val="00EA1A5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EA1A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A1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EA1A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1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EA1A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A1A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A1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A1A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A1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EA1A54"/>
    <w:rPr>
      <w:rFonts w:cs="Times New Roman"/>
    </w:rPr>
  </w:style>
  <w:style w:type="character" w:styleId="af">
    <w:name w:val="Hyperlink"/>
    <w:uiPriority w:val="99"/>
    <w:rsid w:val="00EA1A54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EA1A54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A1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1A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EA1A54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EA1A54"/>
    <w:pPr>
      <w:spacing w:after="0" w:line="240" w:lineRule="auto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EA1A54"/>
    <w:rPr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EA1A54"/>
    <w:rPr>
      <w:sz w:val="20"/>
      <w:szCs w:val="20"/>
    </w:rPr>
  </w:style>
  <w:style w:type="paragraph" w:styleId="af3">
    <w:name w:val="endnote text"/>
    <w:basedOn w:val="a"/>
    <w:link w:val="af4"/>
    <w:uiPriority w:val="99"/>
    <w:rsid w:val="00EA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EA1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99"/>
    <w:qFormat/>
    <w:rsid w:val="00EA1A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EA1A5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EA1A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A1A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A1A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A1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A1A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A1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EA1A5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A1A5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9">
    <w:name w:val="Document Map"/>
    <w:basedOn w:val="a"/>
    <w:link w:val="afa"/>
    <w:uiPriority w:val="99"/>
    <w:rsid w:val="00EA1A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rsid w:val="00EA1A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"/>
    <w:link w:val="afc"/>
    <w:uiPriority w:val="99"/>
    <w:rsid w:val="00EA1A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A1A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Без интервала Знак"/>
    <w:link w:val="afe"/>
    <w:uiPriority w:val="99"/>
    <w:locked/>
    <w:rsid w:val="00EA1A54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EA1A54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99"/>
    <w:qFormat/>
    <w:rsid w:val="00EA1A5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EA1A54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5"/>
    <w:uiPriority w:val="99"/>
    <w:rsid w:val="00EA1A54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EA1A54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EA1A5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f1">
    <w:name w:val="Выделенная цитата Знак"/>
    <w:basedOn w:val="a0"/>
    <w:link w:val="aff0"/>
    <w:uiPriority w:val="99"/>
    <w:rsid w:val="00EA1A54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3"/>
    <w:uiPriority w:val="99"/>
    <w:locked/>
    <w:rsid w:val="00EA1A54"/>
    <w:rPr>
      <w:rFonts w:ascii="Calibri" w:hAnsi="Calibri"/>
      <w:b/>
      <w:i/>
      <w:color w:val="4F81BD"/>
    </w:rPr>
  </w:style>
  <w:style w:type="paragraph" w:customStyle="1" w:styleId="ConsPlusCell">
    <w:name w:val="ConsPlusCell"/>
    <w:rsid w:val="00EA1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uiPriority w:val="99"/>
    <w:rsid w:val="00EA1A54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EA1A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EA1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EA1A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Заголовок статьи"/>
    <w:basedOn w:val="a"/>
    <w:next w:val="a"/>
    <w:uiPriority w:val="99"/>
    <w:rsid w:val="00EA1A5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A1A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EA1A54"/>
    <w:rPr>
      <w:rFonts w:ascii="Calibri" w:hAnsi="Calibri"/>
      <w:i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A1A54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EA1A54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EA1A54"/>
    <w:rPr>
      <w:rFonts w:ascii="Consolas" w:hAnsi="Consolas"/>
    </w:rPr>
  </w:style>
  <w:style w:type="character" w:customStyle="1" w:styleId="15">
    <w:name w:val="Текст концевой сноски Знак1"/>
    <w:uiPriority w:val="99"/>
    <w:semiHidden/>
    <w:rsid w:val="00EA1A54"/>
  </w:style>
  <w:style w:type="character" w:customStyle="1" w:styleId="16">
    <w:name w:val="Название Знак1"/>
    <w:uiPriority w:val="99"/>
    <w:rsid w:val="00EA1A54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uiPriority w:val="99"/>
    <w:rsid w:val="00EA1A54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EA1A54"/>
  </w:style>
  <w:style w:type="character" w:customStyle="1" w:styleId="213">
    <w:name w:val="Основной текст с отступом 2 Знак1"/>
    <w:uiPriority w:val="99"/>
    <w:semiHidden/>
    <w:rsid w:val="00EA1A54"/>
  </w:style>
  <w:style w:type="character" w:customStyle="1" w:styleId="310">
    <w:name w:val="Основной текст с отступом 3 Знак1"/>
    <w:uiPriority w:val="99"/>
    <w:semiHidden/>
    <w:rsid w:val="00EA1A54"/>
    <w:rPr>
      <w:sz w:val="16"/>
    </w:rPr>
  </w:style>
  <w:style w:type="character" w:customStyle="1" w:styleId="18">
    <w:name w:val="Схема документа Знак1"/>
    <w:uiPriority w:val="99"/>
    <w:semiHidden/>
    <w:rsid w:val="00EA1A54"/>
    <w:rPr>
      <w:rFonts w:ascii="Tahoma" w:hAnsi="Tahoma"/>
      <w:sz w:val="16"/>
    </w:rPr>
  </w:style>
  <w:style w:type="character" w:customStyle="1" w:styleId="19">
    <w:name w:val="Текст выноски Знак1"/>
    <w:uiPriority w:val="99"/>
    <w:semiHidden/>
    <w:rsid w:val="00EA1A54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EA1A54"/>
    <w:rPr>
      <w:i/>
      <w:color w:val="000000"/>
    </w:rPr>
  </w:style>
  <w:style w:type="character" w:customStyle="1" w:styleId="1a">
    <w:name w:val="Выделенная цитата Знак1"/>
    <w:uiPriority w:val="99"/>
    <w:rsid w:val="00EA1A54"/>
    <w:rPr>
      <w:b/>
      <w:i/>
      <w:color w:val="4F81BD"/>
    </w:rPr>
  </w:style>
  <w:style w:type="character" w:customStyle="1" w:styleId="apple-style-span">
    <w:name w:val="apple-style-span"/>
    <w:uiPriority w:val="99"/>
    <w:rsid w:val="00EA1A54"/>
  </w:style>
  <w:style w:type="character" w:customStyle="1" w:styleId="1b">
    <w:name w:val="Текст Знак1"/>
    <w:uiPriority w:val="99"/>
    <w:rsid w:val="00EA1A54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EA1A54"/>
    <w:rPr>
      <w:color w:val="106BBE"/>
    </w:rPr>
  </w:style>
  <w:style w:type="table" w:styleId="aff6">
    <w:name w:val="Table Grid"/>
    <w:basedOn w:val="a1"/>
    <w:uiPriority w:val="99"/>
    <w:rsid w:val="00EA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6664</Words>
  <Characters>37986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56</cp:revision>
  <cp:lastPrinted>2016-04-12T08:43:00Z</cp:lastPrinted>
  <dcterms:created xsi:type="dcterms:W3CDTF">2013-10-07T06:07:00Z</dcterms:created>
  <dcterms:modified xsi:type="dcterms:W3CDTF">2016-04-12T10:31:00Z</dcterms:modified>
</cp:coreProperties>
</file>